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6FE65">
      <w:pPr>
        <w:tabs>
          <w:tab w:val="left" w:pos="7655"/>
        </w:tabs>
        <w:ind w:right="-1291" w:rightChars="-615"/>
        <w:jc w:val="center"/>
        <w:rPr>
          <w:b/>
          <w:bCs/>
          <w:color w:val="000000" w:themeColor="text1"/>
          <w:sz w:val="48"/>
          <w:szCs w:val="48"/>
        </w:rPr>
      </w:pPr>
      <w:r>
        <w:rPr>
          <w:rFonts w:hint="eastAsia"/>
          <w:b/>
          <w:bCs/>
          <w:color w:val="000000" w:themeColor="text1"/>
          <w:sz w:val="48"/>
          <w:szCs w:val="48"/>
        </w:rPr>
        <w:tab/>
      </w:r>
    </w:p>
    <w:p w14:paraId="24CD0BB9">
      <w:pPr>
        <w:jc w:val="center"/>
        <w:rPr>
          <w:b/>
          <w:bCs/>
          <w:snapToGrid w:val="0"/>
          <w:color w:val="000000" w:themeColor="text1"/>
          <w:spacing w:val="-11"/>
          <w:kern w:val="0"/>
          <w:sz w:val="44"/>
          <w:szCs w:val="44"/>
        </w:rPr>
      </w:pPr>
      <w:r>
        <w:rPr>
          <w:rFonts w:hint="eastAsia"/>
          <w:b/>
          <w:bCs/>
          <w:snapToGrid w:val="0"/>
          <w:color w:val="000000" w:themeColor="text1"/>
          <w:spacing w:val="-11"/>
          <w:kern w:val="0"/>
          <w:sz w:val="44"/>
          <w:szCs w:val="44"/>
        </w:rPr>
        <w:t>南通市港航事业发展中心海门分中心房屋修缮工程</w:t>
      </w:r>
    </w:p>
    <w:p w14:paraId="1DAC168F">
      <w:pPr>
        <w:rPr>
          <w:b/>
          <w:bCs/>
          <w:snapToGrid w:val="0"/>
          <w:color w:val="000000" w:themeColor="text1"/>
          <w:kern w:val="0"/>
          <w:sz w:val="44"/>
          <w:szCs w:val="44"/>
        </w:rPr>
      </w:pPr>
    </w:p>
    <w:p w14:paraId="660DD5E0">
      <w:pPr>
        <w:rPr>
          <w:b/>
          <w:bCs/>
          <w:snapToGrid w:val="0"/>
          <w:color w:val="000000" w:themeColor="text1"/>
          <w:kern w:val="0"/>
          <w:sz w:val="44"/>
          <w:szCs w:val="44"/>
        </w:rPr>
      </w:pPr>
    </w:p>
    <w:p w14:paraId="1F9E19E9">
      <w:pPr>
        <w:rPr>
          <w:b/>
          <w:bCs/>
          <w:snapToGrid w:val="0"/>
          <w:color w:val="000000" w:themeColor="text1"/>
          <w:kern w:val="0"/>
          <w:sz w:val="44"/>
          <w:szCs w:val="44"/>
        </w:rPr>
      </w:pPr>
    </w:p>
    <w:p w14:paraId="0631069D">
      <w:pPr>
        <w:rPr>
          <w:b/>
          <w:bCs/>
          <w:snapToGrid w:val="0"/>
          <w:color w:val="000000" w:themeColor="text1"/>
          <w:kern w:val="0"/>
          <w:sz w:val="44"/>
          <w:szCs w:val="44"/>
        </w:rPr>
      </w:pPr>
    </w:p>
    <w:p w14:paraId="400369AD">
      <w:pPr>
        <w:pStyle w:val="20"/>
        <w:rPr>
          <w:b/>
          <w:bCs/>
          <w:snapToGrid w:val="0"/>
          <w:color w:val="000000" w:themeColor="text1"/>
          <w:kern w:val="0"/>
          <w:sz w:val="44"/>
          <w:szCs w:val="44"/>
        </w:rPr>
      </w:pPr>
    </w:p>
    <w:p w14:paraId="7F152957"/>
    <w:p w14:paraId="5448BCF2">
      <w:pPr>
        <w:rPr>
          <w:b/>
          <w:bCs/>
          <w:snapToGrid w:val="0"/>
          <w:color w:val="000000" w:themeColor="text1"/>
          <w:kern w:val="0"/>
          <w:sz w:val="44"/>
          <w:szCs w:val="44"/>
        </w:rPr>
      </w:pPr>
    </w:p>
    <w:p w14:paraId="0A96BAE8">
      <w:pPr>
        <w:jc w:val="center"/>
        <w:rPr>
          <w:rFonts w:hint="eastAsia" w:cs="黑体"/>
          <w:color w:val="000000" w:themeColor="text1"/>
          <w:spacing w:val="60"/>
          <w:sz w:val="84"/>
          <w:szCs w:val="84"/>
        </w:rPr>
      </w:pPr>
      <w:r>
        <w:rPr>
          <w:rFonts w:hint="eastAsia" w:cs="黑体"/>
          <w:color w:val="000000" w:themeColor="text1"/>
          <w:spacing w:val="60"/>
          <w:sz w:val="84"/>
          <w:szCs w:val="84"/>
        </w:rPr>
        <w:t>招标文件</w:t>
      </w:r>
    </w:p>
    <w:p w14:paraId="740704B4">
      <w:pPr>
        <w:jc w:val="center"/>
        <w:rPr>
          <w:rFonts w:hint="eastAsia" w:eastAsia="宋体"/>
          <w:color w:val="000000" w:themeColor="text1"/>
          <w:spacing w:val="60"/>
          <w:sz w:val="84"/>
          <w:szCs w:val="84"/>
          <w:lang w:eastAsia="zh-CN"/>
        </w:rPr>
      </w:pPr>
      <w:r>
        <w:rPr>
          <w:rFonts w:hint="eastAsia" w:cs="黑体"/>
          <w:color w:val="000000" w:themeColor="text1"/>
          <w:spacing w:val="60"/>
          <w:sz w:val="84"/>
          <w:szCs w:val="84"/>
          <w:lang w:eastAsia="zh-CN"/>
        </w:rPr>
        <w:t>（</w:t>
      </w:r>
      <w:r>
        <w:rPr>
          <w:rFonts w:hint="eastAsia" w:cs="黑体"/>
          <w:color w:val="000000" w:themeColor="text1"/>
          <w:spacing w:val="60"/>
          <w:sz w:val="84"/>
          <w:szCs w:val="84"/>
          <w:lang w:val="en-US" w:eastAsia="zh-CN"/>
        </w:rPr>
        <w:t>二次</w:t>
      </w:r>
      <w:r>
        <w:rPr>
          <w:rFonts w:hint="eastAsia" w:cs="黑体"/>
          <w:color w:val="000000" w:themeColor="text1"/>
          <w:spacing w:val="60"/>
          <w:sz w:val="84"/>
          <w:szCs w:val="84"/>
          <w:lang w:eastAsia="zh-CN"/>
        </w:rPr>
        <w:t>）</w:t>
      </w:r>
    </w:p>
    <w:p w14:paraId="070412C0">
      <w:pPr>
        <w:rPr>
          <w:b/>
          <w:bCs/>
          <w:color w:val="000000" w:themeColor="text1"/>
          <w:sz w:val="44"/>
          <w:szCs w:val="44"/>
        </w:rPr>
      </w:pPr>
    </w:p>
    <w:p w14:paraId="198A2BB4">
      <w:pPr>
        <w:rPr>
          <w:b/>
          <w:bCs/>
          <w:snapToGrid w:val="0"/>
          <w:color w:val="000000" w:themeColor="text1"/>
          <w:kern w:val="0"/>
          <w:sz w:val="44"/>
          <w:szCs w:val="44"/>
        </w:rPr>
      </w:pPr>
    </w:p>
    <w:p w14:paraId="145325D9">
      <w:pPr>
        <w:jc w:val="center"/>
        <w:rPr>
          <w:b/>
          <w:bCs/>
          <w:color w:val="000000" w:themeColor="text1"/>
          <w:sz w:val="44"/>
          <w:szCs w:val="44"/>
        </w:rPr>
      </w:pPr>
      <w:r>
        <w:rPr>
          <w:rFonts w:hint="eastAsia"/>
          <w:b/>
          <w:bCs/>
          <w:color w:val="000000" w:themeColor="text1"/>
          <w:sz w:val="44"/>
          <w:szCs w:val="44"/>
        </w:rPr>
        <w:t>（项目专用本）</w:t>
      </w:r>
    </w:p>
    <w:p w14:paraId="79A9006A">
      <w:pPr>
        <w:jc w:val="center"/>
        <w:rPr>
          <w:b/>
          <w:bCs/>
          <w:color w:val="000000" w:themeColor="text1"/>
          <w:sz w:val="44"/>
          <w:szCs w:val="44"/>
        </w:rPr>
      </w:pPr>
    </w:p>
    <w:p w14:paraId="2AE1857C">
      <w:pPr>
        <w:jc w:val="center"/>
        <w:rPr>
          <w:b/>
          <w:bCs/>
          <w:color w:val="000000" w:themeColor="text1"/>
          <w:sz w:val="44"/>
          <w:szCs w:val="44"/>
        </w:rPr>
      </w:pPr>
    </w:p>
    <w:p w14:paraId="7FD9C266">
      <w:pPr>
        <w:rPr>
          <w:b/>
          <w:bCs/>
          <w:color w:val="000000" w:themeColor="text1"/>
          <w:sz w:val="44"/>
          <w:szCs w:val="44"/>
        </w:rPr>
      </w:pPr>
    </w:p>
    <w:p w14:paraId="63424A07">
      <w:pPr>
        <w:rPr>
          <w:b/>
          <w:bCs/>
          <w:color w:val="000000" w:themeColor="text1"/>
          <w:sz w:val="44"/>
          <w:szCs w:val="44"/>
        </w:rPr>
      </w:pPr>
    </w:p>
    <w:p w14:paraId="649C8BF4">
      <w:pPr>
        <w:rPr>
          <w:b/>
          <w:bCs/>
          <w:color w:val="000000" w:themeColor="text1"/>
          <w:sz w:val="44"/>
          <w:szCs w:val="44"/>
        </w:rPr>
      </w:pPr>
    </w:p>
    <w:p w14:paraId="2640358A">
      <w:pPr>
        <w:pStyle w:val="20"/>
        <w:rPr>
          <w:b/>
          <w:bCs/>
          <w:color w:val="000000" w:themeColor="text1"/>
          <w:sz w:val="44"/>
          <w:szCs w:val="44"/>
        </w:rPr>
      </w:pPr>
    </w:p>
    <w:p w14:paraId="682A13CD"/>
    <w:p w14:paraId="18CC1AB9">
      <w:pPr>
        <w:rPr>
          <w:b/>
          <w:bCs/>
          <w:color w:val="000000" w:themeColor="text1"/>
          <w:sz w:val="44"/>
          <w:szCs w:val="44"/>
        </w:rPr>
      </w:pPr>
    </w:p>
    <w:tbl>
      <w:tblPr>
        <w:tblStyle w:val="48"/>
        <w:tblW w:w="8830" w:type="dxa"/>
        <w:jc w:val="center"/>
        <w:tblLayout w:type="fixed"/>
        <w:tblCellMar>
          <w:top w:w="0" w:type="dxa"/>
          <w:left w:w="108" w:type="dxa"/>
          <w:bottom w:w="0" w:type="dxa"/>
          <w:right w:w="108" w:type="dxa"/>
        </w:tblCellMar>
      </w:tblPr>
      <w:tblGrid>
        <w:gridCol w:w="2011"/>
        <w:gridCol w:w="6819"/>
      </w:tblGrid>
      <w:tr w14:paraId="79D037B8">
        <w:tblPrEx>
          <w:tblCellMar>
            <w:top w:w="0" w:type="dxa"/>
            <w:left w:w="108" w:type="dxa"/>
            <w:bottom w:w="0" w:type="dxa"/>
            <w:right w:w="108" w:type="dxa"/>
          </w:tblCellMar>
        </w:tblPrEx>
        <w:trPr>
          <w:trHeight w:val="566" w:hRule="atLeast"/>
          <w:jc w:val="center"/>
        </w:trPr>
        <w:tc>
          <w:tcPr>
            <w:tcW w:w="2011" w:type="dxa"/>
            <w:vAlign w:val="center"/>
          </w:tcPr>
          <w:p w14:paraId="16DDFD55">
            <w:pPr>
              <w:jc w:val="distribute"/>
              <w:rPr>
                <w:b/>
                <w:bCs/>
                <w:color w:val="000000" w:themeColor="text1"/>
                <w:kern w:val="0"/>
                <w:sz w:val="36"/>
                <w:szCs w:val="36"/>
              </w:rPr>
            </w:pPr>
            <w:r>
              <w:rPr>
                <w:rFonts w:hint="eastAsia" w:cs="宋体"/>
                <w:b/>
                <w:bCs/>
                <w:color w:val="000000" w:themeColor="text1"/>
                <w:kern w:val="0"/>
                <w:sz w:val="36"/>
                <w:szCs w:val="36"/>
              </w:rPr>
              <w:t>招标人：</w:t>
            </w:r>
          </w:p>
        </w:tc>
        <w:tc>
          <w:tcPr>
            <w:tcW w:w="6819" w:type="dxa"/>
            <w:vAlign w:val="center"/>
          </w:tcPr>
          <w:p w14:paraId="22AB4323">
            <w:pPr>
              <w:jc w:val="distribute"/>
              <w:rPr>
                <w:b/>
                <w:bCs/>
                <w:color w:val="000000" w:themeColor="text1"/>
                <w:kern w:val="0"/>
                <w:sz w:val="32"/>
                <w:szCs w:val="32"/>
              </w:rPr>
            </w:pPr>
            <w:r>
              <w:rPr>
                <w:rFonts w:hint="eastAsia" w:cs="宋体"/>
                <w:b/>
                <w:bCs/>
                <w:color w:val="000000" w:themeColor="text1"/>
                <w:kern w:val="0"/>
                <w:sz w:val="36"/>
                <w:szCs w:val="36"/>
              </w:rPr>
              <w:t>南通市港航事业发展中心</w:t>
            </w:r>
          </w:p>
        </w:tc>
      </w:tr>
    </w:tbl>
    <w:p w14:paraId="5A8CA8B8">
      <w:pPr>
        <w:spacing w:before="120" w:beforeLines="50"/>
        <w:jc w:val="center"/>
        <w:rPr>
          <w:b/>
          <w:bCs/>
          <w:color w:val="000000" w:themeColor="text1"/>
          <w:spacing w:val="40"/>
          <w:sz w:val="36"/>
          <w:szCs w:val="36"/>
        </w:rPr>
      </w:pPr>
      <w:r>
        <w:rPr>
          <w:rFonts w:hint="eastAsia" w:cs="宋体"/>
          <w:b/>
          <w:bCs/>
          <w:color w:val="000000" w:themeColor="text1"/>
          <w:spacing w:val="40"/>
          <w:sz w:val="36"/>
          <w:szCs w:val="36"/>
        </w:rPr>
        <w:t>二〇二四年</w:t>
      </w:r>
      <w:r>
        <w:rPr>
          <w:rFonts w:hint="eastAsia" w:cs="宋体"/>
          <w:b/>
          <w:bCs/>
          <w:color w:val="000000" w:themeColor="text1"/>
          <w:spacing w:val="40"/>
          <w:sz w:val="36"/>
          <w:szCs w:val="36"/>
          <w:lang w:val="en-US" w:eastAsia="zh-CN"/>
        </w:rPr>
        <w:t>十</w:t>
      </w:r>
      <w:r>
        <w:rPr>
          <w:rFonts w:hint="eastAsia" w:cs="宋体"/>
          <w:b/>
          <w:bCs/>
          <w:color w:val="000000" w:themeColor="text1"/>
          <w:spacing w:val="40"/>
          <w:sz w:val="36"/>
          <w:szCs w:val="36"/>
        </w:rPr>
        <w:t>月</w:t>
      </w:r>
    </w:p>
    <w:p w14:paraId="243749BD">
      <w:pPr>
        <w:jc w:val="center"/>
        <w:rPr>
          <w:b/>
          <w:bCs/>
          <w:color w:val="000000" w:themeColor="text1"/>
          <w:w w:val="98"/>
          <w:kern w:val="0"/>
          <w:sz w:val="30"/>
          <w:szCs w:val="30"/>
        </w:rPr>
      </w:pPr>
    </w:p>
    <w:p w14:paraId="45CCC090">
      <w:pPr>
        <w:pStyle w:val="2"/>
        <w:spacing w:before="0" w:after="0" w:line="360" w:lineRule="auto"/>
        <w:jc w:val="center"/>
        <w:rPr>
          <w:rFonts w:cs="黑体"/>
          <w:b w:val="0"/>
          <w:bCs w:val="0"/>
          <w:color w:val="000000" w:themeColor="text1"/>
        </w:rPr>
        <w:sectPr>
          <w:pgSz w:w="11920" w:h="16840"/>
          <w:pgMar w:top="1140" w:right="1247" w:bottom="1060" w:left="1247" w:header="884" w:footer="838" w:gutter="0"/>
          <w:cols w:space="720" w:num="1"/>
        </w:sectPr>
      </w:pPr>
      <w:bookmarkStart w:id="0" w:name="_Toc218933019"/>
      <w:bookmarkStart w:id="1" w:name="_Toc234744417"/>
      <w:bookmarkStart w:id="2" w:name="_Toc460366490"/>
      <w:bookmarkStart w:id="3" w:name="_Toc155855594"/>
      <w:bookmarkStart w:id="4" w:name="_Toc11427"/>
      <w:bookmarkStart w:id="5" w:name="_Toc238559171"/>
      <w:bookmarkStart w:id="6" w:name="_Toc30496"/>
      <w:bookmarkStart w:id="7" w:name="_Toc11070"/>
      <w:bookmarkStart w:id="8" w:name="_Toc508615685"/>
      <w:bookmarkStart w:id="9" w:name="_Toc170618587"/>
      <w:bookmarkStart w:id="10" w:name="_Toc234675048"/>
    </w:p>
    <w:p w14:paraId="68A2D9D5">
      <w:pPr>
        <w:pStyle w:val="2"/>
        <w:spacing w:before="0" w:after="0" w:line="360" w:lineRule="auto"/>
        <w:jc w:val="center"/>
        <w:rPr>
          <w:b w:val="0"/>
          <w:bCs w:val="0"/>
          <w:color w:val="000000" w:themeColor="text1"/>
        </w:rPr>
      </w:pPr>
      <w:r>
        <w:rPr>
          <w:rFonts w:hint="eastAsia" w:cs="黑体"/>
          <w:b w:val="0"/>
          <w:bCs w:val="0"/>
          <w:color w:val="000000" w:themeColor="text1"/>
        </w:rPr>
        <w:t>说明</w:t>
      </w:r>
      <w:bookmarkEnd w:id="0"/>
      <w:bookmarkEnd w:id="1"/>
      <w:bookmarkEnd w:id="2"/>
      <w:bookmarkEnd w:id="3"/>
      <w:bookmarkEnd w:id="4"/>
      <w:bookmarkEnd w:id="5"/>
      <w:bookmarkEnd w:id="6"/>
      <w:bookmarkEnd w:id="7"/>
      <w:bookmarkEnd w:id="8"/>
      <w:bookmarkEnd w:id="9"/>
      <w:bookmarkEnd w:id="10"/>
    </w:p>
    <w:p w14:paraId="4886D711">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一、南通市港航事业发展中心海门分中心房屋修缮工程招标文件由江苏省公路水运工程建设项目房建工程标准施工招标文件（2019年版）和项目专用本两部分组成。本册为项目专用本。</w:t>
      </w:r>
    </w:p>
    <w:p w14:paraId="4B42AF1D">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二、项目专用本是根据本项目实际情况对《江苏省公路水运工程建设项目房建工程标准施工招标文件（2019年版）》进行了补充、完善和修改。投标人应将《江苏省公路水运工程建设项目房建工程标准施工招标文件（2019年版）》和项目专用本结合阅读，凡《江苏省公路水运工程建设项目房建工程标准施工招标文件（2019年版）》与项目专用本有相悖之处，以项目专用本为准。项目专用本未对《江苏省公路水运工程建设项目房建工程标准施工招标文件（2019年版）》进行补充、细化、修改和说明的，以</w:t>
      </w:r>
      <w:bookmarkStart w:id="11" w:name="_Hlk164930296"/>
      <w:r>
        <w:rPr>
          <w:rFonts w:hint="eastAsia" w:ascii="宋体" w:hAnsi="宋体" w:cs="宋体"/>
          <w:color w:val="000000" w:themeColor="text1"/>
          <w:sz w:val="24"/>
          <w:szCs w:val="24"/>
        </w:rPr>
        <w:t>《江苏省公路水运工程建设项目房建工程标准施工招标文件（2019年版）》</w:t>
      </w:r>
      <w:bookmarkEnd w:id="11"/>
      <w:r>
        <w:rPr>
          <w:rFonts w:hint="eastAsia" w:ascii="宋体" w:hAnsi="宋体" w:cs="宋体"/>
          <w:color w:val="000000" w:themeColor="text1"/>
          <w:sz w:val="24"/>
          <w:szCs w:val="24"/>
        </w:rPr>
        <w:t>为准。</w:t>
      </w:r>
    </w:p>
    <w:p w14:paraId="7A1929E9">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三、项目专用本对《江苏省公路水运工程建设项目房建工程标准施工招标文件（2019年版）》各章的引用情况详见下表：</w:t>
      </w:r>
    </w:p>
    <w:tbl>
      <w:tblPr>
        <w:tblStyle w:val="48"/>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712"/>
        <w:gridCol w:w="5087"/>
      </w:tblGrid>
      <w:tr w14:paraId="6863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4D273554">
            <w:pPr>
              <w:widowControl/>
              <w:spacing w:line="380" w:lineRule="exact"/>
              <w:jc w:val="center"/>
              <w:rPr>
                <w:color w:val="000000" w:themeColor="text1"/>
                <w:kern w:val="0"/>
                <w:sz w:val="24"/>
                <w:szCs w:val="24"/>
              </w:rPr>
            </w:pPr>
            <w:r>
              <w:rPr>
                <w:rFonts w:hint="eastAsia" w:cs="黑体"/>
                <w:color w:val="000000" w:themeColor="text1"/>
                <w:kern w:val="0"/>
                <w:sz w:val="24"/>
                <w:szCs w:val="24"/>
              </w:rPr>
              <w:t>章节</w:t>
            </w:r>
          </w:p>
        </w:tc>
        <w:tc>
          <w:tcPr>
            <w:tcW w:w="5087" w:type="dxa"/>
            <w:vAlign w:val="center"/>
          </w:tcPr>
          <w:p w14:paraId="7FB4EF7C">
            <w:pPr>
              <w:spacing w:line="380" w:lineRule="exact"/>
              <w:jc w:val="center"/>
              <w:rPr>
                <w:color w:val="000000" w:themeColor="text1"/>
                <w:kern w:val="0"/>
                <w:sz w:val="24"/>
                <w:szCs w:val="24"/>
              </w:rPr>
            </w:pPr>
            <w:r>
              <w:rPr>
                <w:rFonts w:hint="eastAsia" w:cs="黑体"/>
                <w:color w:val="000000" w:themeColor="text1"/>
                <w:kern w:val="0"/>
                <w:sz w:val="24"/>
                <w:szCs w:val="24"/>
              </w:rPr>
              <w:t>编制说明</w:t>
            </w:r>
          </w:p>
        </w:tc>
      </w:tr>
      <w:tr w14:paraId="5739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17934F1D">
            <w:pPr>
              <w:widowControl/>
              <w:spacing w:line="380" w:lineRule="exact"/>
              <w:rPr>
                <w:b/>
                <w:bCs/>
                <w:color w:val="000000" w:themeColor="text1"/>
                <w:kern w:val="0"/>
                <w:sz w:val="24"/>
                <w:szCs w:val="24"/>
              </w:rPr>
            </w:pPr>
            <w:r>
              <w:rPr>
                <w:rFonts w:hint="eastAsia" w:cs="宋体"/>
                <w:b/>
                <w:bCs/>
                <w:color w:val="000000" w:themeColor="text1"/>
                <w:kern w:val="0"/>
                <w:sz w:val="24"/>
                <w:szCs w:val="24"/>
              </w:rPr>
              <w:t>第一章招标公告</w:t>
            </w:r>
          </w:p>
        </w:tc>
        <w:tc>
          <w:tcPr>
            <w:tcW w:w="5087" w:type="dxa"/>
            <w:vAlign w:val="center"/>
          </w:tcPr>
          <w:p w14:paraId="04E84367">
            <w:pPr>
              <w:spacing w:line="380" w:lineRule="exact"/>
              <w:rPr>
                <w:color w:val="000000" w:themeColor="text1"/>
                <w:kern w:val="0"/>
                <w:sz w:val="24"/>
                <w:szCs w:val="24"/>
              </w:rPr>
            </w:pPr>
            <w:r>
              <w:rPr>
                <w:rFonts w:hint="eastAsia" w:cs="宋体"/>
                <w:color w:val="000000" w:themeColor="text1"/>
                <w:kern w:val="0"/>
                <w:sz w:val="24"/>
                <w:szCs w:val="24"/>
              </w:rPr>
              <w:t>内容见项目专用本。</w:t>
            </w:r>
          </w:p>
        </w:tc>
      </w:tr>
      <w:tr w14:paraId="323FD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307C5C24">
            <w:pPr>
              <w:widowControl/>
              <w:spacing w:line="380" w:lineRule="exact"/>
              <w:rPr>
                <w:b/>
                <w:bCs/>
                <w:color w:val="000000" w:themeColor="text1"/>
                <w:kern w:val="0"/>
                <w:sz w:val="24"/>
                <w:szCs w:val="24"/>
              </w:rPr>
            </w:pPr>
            <w:r>
              <w:rPr>
                <w:rFonts w:hint="eastAsia" w:cs="宋体"/>
                <w:b/>
                <w:bCs/>
                <w:color w:val="000000" w:themeColor="text1"/>
                <w:kern w:val="0"/>
                <w:sz w:val="24"/>
                <w:szCs w:val="24"/>
              </w:rPr>
              <w:t>第二章投标人须知</w:t>
            </w:r>
          </w:p>
        </w:tc>
        <w:tc>
          <w:tcPr>
            <w:tcW w:w="5087" w:type="dxa"/>
            <w:vAlign w:val="center"/>
          </w:tcPr>
          <w:p w14:paraId="06309F91">
            <w:pPr>
              <w:spacing w:line="380" w:lineRule="exact"/>
              <w:rPr>
                <w:color w:val="000000" w:themeColor="text1"/>
                <w:kern w:val="0"/>
                <w:sz w:val="24"/>
                <w:szCs w:val="24"/>
              </w:rPr>
            </w:pPr>
          </w:p>
        </w:tc>
      </w:tr>
      <w:tr w14:paraId="6B77A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6ADB3C3D">
            <w:pPr>
              <w:widowControl/>
              <w:spacing w:line="380" w:lineRule="exact"/>
              <w:rPr>
                <w:color w:val="000000" w:themeColor="text1"/>
                <w:kern w:val="0"/>
                <w:sz w:val="24"/>
                <w:szCs w:val="24"/>
              </w:rPr>
            </w:pPr>
            <w:r>
              <w:rPr>
                <w:rFonts w:hint="eastAsia" w:cs="宋体"/>
                <w:color w:val="000000" w:themeColor="text1"/>
                <w:kern w:val="0"/>
                <w:sz w:val="24"/>
                <w:szCs w:val="24"/>
              </w:rPr>
              <w:t>投标人须知前附表</w:t>
            </w:r>
          </w:p>
        </w:tc>
        <w:tc>
          <w:tcPr>
            <w:tcW w:w="5087" w:type="dxa"/>
            <w:vAlign w:val="center"/>
          </w:tcPr>
          <w:p w14:paraId="196F5AE9">
            <w:pPr>
              <w:spacing w:line="380" w:lineRule="exact"/>
              <w:rPr>
                <w:color w:val="000000" w:themeColor="text1"/>
                <w:kern w:val="0"/>
                <w:sz w:val="24"/>
                <w:szCs w:val="24"/>
              </w:rPr>
            </w:pPr>
            <w:r>
              <w:rPr>
                <w:rFonts w:hint="eastAsia" w:cs="宋体"/>
                <w:color w:val="000000" w:themeColor="text1"/>
                <w:kern w:val="0"/>
                <w:sz w:val="24"/>
                <w:szCs w:val="24"/>
              </w:rPr>
              <w:t>“投标人须知前附表”是对“投标人须知”正文的补充、细化，其内容见项目专用本。</w:t>
            </w:r>
          </w:p>
        </w:tc>
      </w:tr>
      <w:tr w14:paraId="2A62B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0C7B64AC">
            <w:pPr>
              <w:widowControl/>
              <w:spacing w:line="380" w:lineRule="exact"/>
              <w:rPr>
                <w:color w:val="000000" w:themeColor="text1"/>
                <w:kern w:val="0"/>
                <w:sz w:val="24"/>
                <w:szCs w:val="24"/>
              </w:rPr>
            </w:pPr>
            <w:r>
              <w:rPr>
                <w:rFonts w:hint="eastAsia" w:cs="宋体"/>
                <w:color w:val="000000" w:themeColor="text1"/>
                <w:kern w:val="0"/>
                <w:sz w:val="24"/>
                <w:szCs w:val="24"/>
              </w:rPr>
              <w:t>“投标人须知”正文</w:t>
            </w:r>
          </w:p>
        </w:tc>
        <w:tc>
          <w:tcPr>
            <w:tcW w:w="5087" w:type="dxa"/>
            <w:vAlign w:val="center"/>
          </w:tcPr>
          <w:p w14:paraId="4BBB6CC0">
            <w:pPr>
              <w:spacing w:line="380" w:lineRule="exact"/>
              <w:rPr>
                <w:color w:val="000000" w:themeColor="text1"/>
                <w:kern w:val="0"/>
                <w:sz w:val="24"/>
                <w:szCs w:val="24"/>
              </w:rPr>
            </w:pPr>
            <w:r>
              <w:rPr>
                <w:rFonts w:hint="eastAsia" w:cs="宋体"/>
                <w:color w:val="000000" w:themeColor="text1"/>
                <w:kern w:val="0"/>
                <w:sz w:val="24"/>
                <w:szCs w:val="24"/>
              </w:rPr>
              <w:t>内容见项目专用本。</w:t>
            </w:r>
          </w:p>
        </w:tc>
      </w:tr>
      <w:tr w14:paraId="66D7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92" w:type="dxa"/>
            <w:gridSpan w:val="2"/>
            <w:vAlign w:val="center"/>
          </w:tcPr>
          <w:p w14:paraId="6F883226">
            <w:pPr>
              <w:widowControl/>
              <w:spacing w:line="380" w:lineRule="exact"/>
              <w:rPr>
                <w:b/>
                <w:bCs/>
                <w:color w:val="000000" w:themeColor="text1"/>
                <w:kern w:val="0"/>
                <w:sz w:val="24"/>
                <w:szCs w:val="24"/>
              </w:rPr>
            </w:pPr>
            <w:r>
              <w:rPr>
                <w:rFonts w:hint="eastAsia" w:cs="宋体"/>
                <w:b/>
                <w:bCs/>
                <w:color w:val="000000" w:themeColor="text1"/>
                <w:kern w:val="0"/>
                <w:sz w:val="24"/>
                <w:szCs w:val="24"/>
              </w:rPr>
              <w:t>第三章评标办法</w:t>
            </w:r>
            <w:r>
              <w:rPr>
                <w:b/>
                <w:bCs/>
                <w:color w:val="000000" w:themeColor="text1"/>
                <w:kern w:val="0"/>
                <w:sz w:val="24"/>
                <w:szCs w:val="24"/>
              </w:rPr>
              <w:t>(</w:t>
            </w:r>
            <w:r>
              <w:rPr>
                <w:rFonts w:hint="eastAsia"/>
                <w:b/>
                <w:bCs/>
                <w:color w:val="000000" w:themeColor="text1"/>
                <w:kern w:val="0"/>
                <w:sz w:val="24"/>
                <w:szCs w:val="24"/>
              </w:rPr>
              <w:t>合理低价法</w:t>
            </w:r>
            <w:r>
              <w:rPr>
                <w:b/>
                <w:bCs/>
                <w:color w:val="000000" w:themeColor="text1"/>
                <w:kern w:val="0"/>
                <w:sz w:val="24"/>
                <w:szCs w:val="24"/>
              </w:rPr>
              <w:t>)</w:t>
            </w:r>
          </w:p>
        </w:tc>
        <w:tc>
          <w:tcPr>
            <w:tcW w:w="5087" w:type="dxa"/>
            <w:vAlign w:val="center"/>
          </w:tcPr>
          <w:p w14:paraId="771C2A22">
            <w:pPr>
              <w:spacing w:line="380" w:lineRule="exact"/>
              <w:rPr>
                <w:color w:val="000000" w:themeColor="text1"/>
                <w:kern w:val="0"/>
                <w:sz w:val="24"/>
                <w:szCs w:val="24"/>
              </w:rPr>
            </w:pPr>
          </w:p>
        </w:tc>
      </w:tr>
      <w:tr w14:paraId="62E21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3A5D830F">
            <w:pPr>
              <w:rPr>
                <w:color w:val="000000" w:themeColor="text1"/>
                <w:kern w:val="0"/>
                <w:sz w:val="24"/>
                <w:szCs w:val="24"/>
              </w:rPr>
            </w:pPr>
            <w:r>
              <w:rPr>
                <w:rFonts w:hint="eastAsia" w:cs="宋体"/>
                <w:color w:val="000000" w:themeColor="text1"/>
                <w:kern w:val="0"/>
                <w:sz w:val="24"/>
                <w:szCs w:val="24"/>
              </w:rPr>
              <w:t>评标办法前附表</w:t>
            </w:r>
          </w:p>
        </w:tc>
        <w:tc>
          <w:tcPr>
            <w:tcW w:w="5087" w:type="dxa"/>
            <w:vAlign w:val="center"/>
          </w:tcPr>
          <w:p w14:paraId="2E8AB96C">
            <w:pPr>
              <w:rPr>
                <w:color w:val="000000" w:themeColor="text1"/>
                <w:kern w:val="0"/>
                <w:sz w:val="24"/>
                <w:szCs w:val="24"/>
              </w:rPr>
            </w:pPr>
            <w:r>
              <w:rPr>
                <w:rFonts w:hint="eastAsia" w:cs="宋体"/>
                <w:color w:val="000000" w:themeColor="text1"/>
                <w:kern w:val="0"/>
                <w:sz w:val="24"/>
                <w:szCs w:val="24"/>
              </w:rPr>
              <w:t>内容见项目专用本。</w:t>
            </w:r>
          </w:p>
        </w:tc>
      </w:tr>
      <w:tr w14:paraId="60E4E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6152AE0D">
            <w:pPr>
              <w:rPr>
                <w:color w:val="000000" w:themeColor="text1"/>
                <w:kern w:val="0"/>
                <w:sz w:val="24"/>
                <w:szCs w:val="24"/>
              </w:rPr>
            </w:pPr>
            <w:r>
              <w:rPr>
                <w:rFonts w:hint="eastAsia" w:cs="宋体"/>
                <w:color w:val="000000" w:themeColor="text1"/>
                <w:kern w:val="0"/>
                <w:sz w:val="24"/>
                <w:szCs w:val="24"/>
              </w:rPr>
              <w:t>“评标办法”正文</w:t>
            </w:r>
          </w:p>
        </w:tc>
        <w:tc>
          <w:tcPr>
            <w:tcW w:w="5087" w:type="dxa"/>
            <w:vAlign w:val="center"/>
          </w:tcPr>
          <w:p w14:paraId="53A99C28">
            <w:pPr>
              <w:rPr>
                <w:color w:val="000000" w:themeColor="text1"/>
                <w:kern w:val="0"/>
                <w:sz w:val="24"/>
                <w:szCs w:val="24"/>
              </w:rPr>
            </w:pPr>
            <w:r>
              <w:rPr>
                <w:rFonts w:hint="eastAsia" w:cs="宋体"/>
                <w:color w:val="000000" w:themeColor="text1"/>
                <w:kern w:val="0"/>
                <w:sz w:val="24"/>
                <w:szCs w:val="24"/>
              </w:rPr>
              <w:t>内容见项目专用本。</w:t>
            </w:r>
          </w:p>
        </w:tc>
      </w:tr>
      <w:tr w14:paraId="14B8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49A6AA56">
            <w:pPr>
              <w:widowControl/>
              <w:spacing w:line="380" w:lineRule="exact"/>
              <w:rPr>
                <w:b/>
                <w:bCs/>
                <w:color w:val="000000" w:themeColor="text1"/>
                <w:kern w:val="0"/>
                <w:sz w:val="24"/>
                <w:szCs w:val="24"/>
              </w:rPr>
            </w:pPr>
            <w:r>
              <w:rPr>
                <w:rFonts w:hint="eastAsia" w:cs="宋体"/>
                <w:b/>
                <w:bCs/>
                <w:color w:val="000000" w:themeColor="text1"/>
                <w:kern w:val="0"/>
                <w:sz w:val="24"/>
                <w:szCs w:val="24"/>
              </w:rPr>
              <w:t>第四章合同条款及格式</w:t>
            </w:r>
          </w:p>
        </w:tc>
        <w:tc>
          <w:tcPr>
            <w:tcW w:w="5087" w:type="dxa"/>
            <w:vAlign w:val="center"/>
          </w:tcPr>
          <w:p w14:paraId="5E1018B8">
            <w:pPr>
              <w:spacing w:line="380" w:lineRule="exact"/>
              <w:rPr>
                <w:color w:val="000000" w:themeColor="text1"/>
                <w:kern w:val="0"/>
                <w:sz w:val="24"/>
                <w:szCs w:val="24"/>
              </w:rPr>
            </w:pPr>
          </w:p>
        </w:tc>
      </w:tr>
      <w:tr w14:paraId="1D6F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3792" w:type="dxa"/>
            <w:gridSpan w:val="2"/>
            <w:vAlign w:val="center"/>
          </w:tcPr>
          <w:p w14:paraId="388D1A98">
            <w:pPr>
              <w:widowControl/>
              <w:spacing w:line="380" w:lineRule="exact"/>
              <w:rPr>
                <w:color w:val="000000" w:themeColor="text1"/>
                <w:kern w:val="0"/>
                <w:sz w:val="24"/>
                <w:szCs w:val="24"/>
              </w:rPr>
            </w:pPr>
            <w:r>
              <w:rPr>
                <w:rFonts w:hint="eastAsia" w:cs="宋体"/>
                <w:color w:val="000000" w:themeColor="text1"/>
                <w:kern w:val="0"/>
                <w:sz w:val="24"/>
                <w:szCs w:val="24"/>
              </w:rPr>
              <w:t>第一节通用合同条款</w:t>
            </w:r>
          </w:p>
        </w:tc>
        <w:tc>
          <w:tcPr>
            <w:tcW w:w="5087" w:type="dxa"/>
            <w:vMerge w:val="restart"/>
            <w:vAlign w:val="center"/>
          </w:tcPr>
          <w:p w14:paraId="01308D6C">
            <w:pPr>
              <w:spacing w:line="380" w:lineRule="exact"/>
              <w:rPr>
                <w:color w:val="000000" w:themeColor="text1"/>
                <w:kern w:val="0"/>
                <w:sz w:val="24"/>
                <w:szCs w:val="24"/>
              </w:rPr>
            </w:pPr>
            <w:r>
              <w:rPr>
                <w:rFonts w:hint="eastAsia" w:cs="宋体"/>
                <w:color w:val="000000" w:themeColor="text1"/>
                <w:kern w:val="0"/>
                <w:sz w:val="24"/>
                <w:szCs w:val="24"/>
              </w:rPr>
              <w:t>采用国家九部委《标准施工招标文件》(2007年版)“通用合同条款”。</w:t>
            </w:r>
          </w:p>
        </w:tc>
      </w:tr>
      <w:tr w14:paraId="2A202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080" w:type="dxa"/>
            <w:vMerge w:val="restart"/>
            <w:vAlign w:val="center"/>
          </w:tcPr>
          <w:p w14:paraId="18101766">
            <w:pPr>
              <w:widowControl/>
              <w:spacing w:line="380" w:lineRule="exact"/>
              <w:rPr>
                <w:color w:val="000000" w:themeColor="text1"/>
                <w:kern w:val="0"/>
                <w:sz w:val="24"/>
                <w:szCs w:val="24"/>
              </w:rPr>
            </w:pPr>
            <w:r>
              <w:rPr>
                <w:rFonts w:hint="eastAsia" w:cs="宋体"/>
                <w:color w:val="000000" w:themeColor="text1"/>
                <w:kern w:val="0"/>
                <w:sz w:val="24"/>
                <w:szCs w:val="24"/>
              </w:rPr>
              <w:t>第二节</w:t>
            </w:r>
          </w:p>
        </w:tc>
        <w:tc>
          <w:tcPr>
            <w:tcW w:w="2712" w:type="dxa"/>
            <w:vAlign w:val="center"/>
          </w:tcPr>
          <w:p w14:paraId="1D52B706">
            <w:pPr>
              <w:widowControl/>
              <w:spacing w:line="380" w:lineRule="exact"/>
              <w:rPr>
                <w:color w:val="000000" w:themeColor="text1"/>
                <w:kern w:val="0"/>
                <w:sz w:val="24"/>
                <w:szCs w:val="24"/>
              </w:rPr>
            </w:pPr>
            <w:r>
              <w:rPr>
                <w:color w:val="000000" w:themeColor="text1"/>
                <w:kern w:val="0"/>
                <w:sz w:val="24"/>
                <w:szCs w:val="24"/>
              </w:rPr>
              <w:t>A</w:t>
            </w:r>
            <w:r>
              <w:rPr>
                <w:rFonts w:hint="eastAsia" w:cs="宋体"/>
                <w:color w:val="000000" w:themeColor="text1"/>
                <w:kern w:val="0"/>
                <w:sz w:val="24"/>
                <w:szCs w:val="24"/>
              </w:rPr>
              <w:t>．专用合同条款</w:t>
            </w:r>
          </w:p>
        </w:tc>
        <w:tc>
          <w:tcPr>
            <w:tcW w:w="5087" w:type="dxa"/>
            <w:vMerge w:val="continue"/>
            <w:vAlign w:val="center"/>
          </w:tcPr>
          <w:p w14:paraId="04C0097A">
            <w:pPr>
              <w:spacing w:line="380" w:lineRule="exact"/>
              <w:rPr>
                <w:color w:val="000000" w:themeColor="text1"/>
                <w:kern w:val="0"/>
                <w:sz w:val="24"/>
                <w:szCs w:val="24"/>
              </w:rPr>
            </w:pPr>
          </w:p>
        </w:tc>
      </w:tr>
      <w:tr w14:paraId="4B6C1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080" w:type="dxa"/>
            <w:vMerge w:val="continue"/>
            <w:vAlign w:val="center"/>
          </w:tcPr>
          <w:p w14:paraId="0441CB56">
            <w:pPr>
              <w:widowControl/>
              <w:spacing w:line="380" w:lineRule="exact"/>
              <w:rPr>
                <w:color w:val="000000" w:themeColor="text1"/>
                <w:kern w:val="0"/>
                <w:sz w:val="24"/>
                <w:szCs w:val="24"/>
              </w:rPr>
            </w:pPr>
          </w:p>
        </w:tc>
        <w:tc>
          <w:tcPr>
            <w:tcW w:w="2712" w:type="dxa"/>
            <w:vAlign w:val="center"/>
          </w:tcPr>
          <w:p w14:paraId="3A5871FB">
            <w:pPr>
              <w:widowControl/>
              <w:spacing w:line="380" w:lineRule="exact"/>
              <w:rPr>
                <w:color w:val="000000" w:themeColor="text1"/>
                <w:kern w:val="0"/>
                <w:sz w:val="24"/>
                <w:szCs w:val="24"/>
              </w:rPr>
            </w:pPr>
            <w:r>
              <w:rPr>
                <w:color w:val="000000" w:themeColor="text1"/>
                <w:kern w:val="0"/>
                <w:sz w:val="24"/>
                <w:szCs w:val="24"/>
              </w:rPr>
              <w:t>B</w:t>
            </w:r>
            <w:r>
              <w:rPr>
                <w:rFonts w:hint="eastAsia" w:cs="宋体"/>
                <w:color w:val="000000" w:themeColor="text1"/>
                <w:kern w:val="0"/>
                <w:sz w:val="24"/>
                <w:szCs w:val="24"/>
              </w:rPr>
              <w:t>．项目专用合同条款</w:t>
            </w:r>
          </w:p>
        </w:tc>
        <w:tc>
          <w:tcPr>
            <w:tcW w:w="5087" w:type="dxa"/>
            <w:vAlign w:val="center"/>
          </w:tcPr>
          <w:p w14:paraId="72A59354">
            <w:pPr>
              <w:spacing w:line="380" w:lineRule="exact"/>
              <w:rPr>
                <w:color w:val="000000" w:themeColor="text1"/>
                <w:kern w:val="0"/>
                <w:sz w:val="24"/>
                <w:szCs w:val="24"/>
              </w:rPr>
            </w:pPr>
            <w:r>
              <w:rPr>
                <w:rFonts w:hint="eastAsia" w:cs="宋体"/>
                <w:color w:val="000000" w:themeColor="text1"/>
                <w:kern w:val="0"/>
                <w:sz w:val="24"/>
                <w:szCs w:val="24"/>
              </w:rPr>
              <w:t>“项目专用合同条款”是对“通用合同条款”和“专用合同条款”的补充和细化，其内容见项目专用本。</w:t>
            </w:r>
          </w:p>
        </w:tc>
      </w:tr>
      <w:tr w14:paraId="40CB4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3792" w:type="dxa"/>
            <w:gridSpan w:val="2"/>
            <w:vAlign w:val="center"/>
          </w:tcPr>
          <w:p w14:paraId="7876A3A5">
            <w:pPr>
              <w:rPr>
                <w:color w:val="000000" w:themeColor="text1"/>
                <w:kern w:val="0"/>
                <w:sz w:val="24"/>
                <w:szCs w:val="24"/>
              </w:rPr>
            </w:pPr>
            <w:r>
              <w:rPr>
                <w:rFonts w:hint="eastAsia" w:cs="宋体"/>
                <w:color w:val="000000" w:themeColor="text1"/>
                <w:kern w:val="0"/>
                <w:sz w:val="24"/>
                <w:szCs w:val="24"/>
              </w:rPr>
              <w:t>第三节合同附件格式</w:t>
            </w:r>
          </w:p>
        </w:tc>
        <w:tc>
          <w:tcPr>
            <w:tcW w:w="5087" w:type="dxa"/>
            <w:vAlign w:val="center"/>
          </w:tcPr>
          <w:p w14:paraId="65244AA5">
            <w:pPr>
              <w:rPr>
                <w:color w:val="000000" w:themeColor="text1"/>
                <w:kern w:val="0"/>
                <w:sz w:val="24"/>
                <w:szCs w:val="24"/>
              </w:rPr>
            </w:pPr>
            <w:r>
              <w:rPr>
                <w:rFonts w:hint="eastAsia" w:cs="宋体"/>
                <w:color w:val="000000" w:themeColor="text1"/>
                <w:kern w:val="0"/>
                <w:sz w:val="24"/>
                <w:szCs w:val="24"/>
              </w:rPr>
              <w:t>内容见项目专用本。</w:t>
            </w:r>
          </w:p>
        </w:tc>
      </w:tr>
      <w:tr w14:paraId="68B0C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5C24FDC6">
            <w:pPr>
              <w:widowControl/>
              <w:spacing w:line="380" w:lineRule="exact"/>
              <w:rPr>
                <w:b/>
                <w:bCs/>
                <w:color w:val="000000" w:themeColor="text1"/>
                <w:kern w:val="0"/>
                <w:sz w:val="24"/>
                <w:szCs w:val="24"/>
              </w:rPr>
            </w:pPr>
            <w:r>
              <w:rPr>
                <w:rFonts w:hint="eastAsia" w:cs="宋体"/>
                <w:b/>
                <w:bCs/>
                <w:color w:val="000000" w:themeColor="text1"/>
                <w:kern w:val="0"/>
                <w:sz w:val="24"/>
                <w:szCs w:val="24"/>
              </w:rPr>
              <w:t>第五章工程量清单</w:t>
            </w:r>
          </w:p>
        </w:tc>
        <w:tc>
          <w:tcPr>
            <w:tcW w:w="5087" w:type="dxa"/>
            <w:vAlign w:val="center"/>
          </w:tcPr>
          <w:p w14:paraId="13908D1D">
            <w:pPr>
              <w:spacing w:line="380" w:lineRule="exact"/>
              <w:rPr>
                <w:color w:val="000000" w:themeColor="text1"/>
                <w:kern w:val="0"/>
                <w:sz w:val="24"/>
                <w:szCs w:val="24"/>
              </w:rPr>
            </w:pPr>
            <w:r>
              <w:rPr>
                <w:rFonts w:hint="eastAsia" w:cs="宋体"/>
                <w:color w:val="000000" w:themeColor="text1"/>
                <w:kern w:val="0"/>
                <w:sz w:val="24"/>
                <w:szCs w:val="24"/>
              </w:rPr>
              <w:t>另册</w:t>
            </w:r>
          </w:p>
        </w:tc>
      </w:tr>
      <w:tr w14:paraId="2DD5D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520AE797">
            <w:pPr>
              <w:widowControl/>
              <w:spacing w:line="380" w:lineRule="exact"/>
              <w:rPr>
                <w:rFonts w:cs="宋体"/>
                <w:b/>
                <w:bCs/>
                <w:color w:val="000000" w:themeColor="text1"/>
                <w:kern w:val="0"/>
                <w:sz w:val="24"/>
                <w:szCs w:val="24"/>
              </w:rPr>
            </w:pPr>
            <w:r>
              <w:rPr>
                <w:rFonts w:hint="eastAsia" w:cs="宋体"/>
                <w:b/>
                <w:bCs/>
                <w:color w:val="000000" w:themeColor="text1"/>
                <w:kern w:val="0"/>
                <w:sz w:val="24"/>
                <w:szCs w:val="24"/>
              </w:rPr>
              <w:t>第六章图纸</w:t>
            </w:r>
          </w:p>
        </w:tc>
        <w:tc>
          <w:tcPr>
            <w:tcW w:w="5087" w:type="dxa"/>
            <w:vAlign w:val="center"/>
          </w:tcPr>
          <w:p w14:paraId="32079C95">
            <w:pPr>
              <w:spacing w:line="380" w:lineRule="exact"/>
              <w:rPr>
                <w:rFonts w:cs="宋体"/>
                <w:color w:val="000000" w:themeColor="text1"/>
                <w:kern w:val="0"/>
                <w:sz w:val="24"/>
                <w:szCs w:val="24"/>
              </w:rPr>
            </w:pPr>
            <w:r>
              <w:rPr>
                <w:rFonts w:hint="eastAsia" w:cs="宋体"/>
                <w:color w:val="000000" w:themeColor="text1"/>
                <w:kern w:val="0"/>
                <w:sz w:val="24"/>
                <w:szCs w:val="24"/>
              </w:rPr>
              <w:t>无</w:t>
            </w:r>
          </w:p>
        </w:tc>
      </w:tr>
      <w:tr w14:paraId="7FFF9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01E2968B">
            <w:pPr>
              <w:widowControl/>
              <w:spacing w:line="380" w:lineRule="exact"/>
              <w:rPr>
                <w:b/>
                <w:bCs/>
                <w:color w:val="000000" w:themeColor="text1"/>
                <w:kern w:val="0"/>
                <w:sz w:val="24"/>
                <w:szCs w:val="24"/>
              </w:rPr>
            </w:pPr>
            <w:r>
              <w:rPr>
                <w:rFonts w:hint="eastAsia" w:cs="宋体"/>
                <w:b/>
                <w:bCs/>
                <w:color w:val="000000" w:themeColor="text1"/>
                <w:kern w:val="0"/>
                <w:sz w:val="24"/>
                <w:szCs w:val="24"/>
              </w:rPr>
              <w:t>第七章技术规范</w:t>
            </w:r>
          </w:p>
        </w:tc>
        <w:tc>
          <w:tcPr>
            <w:tcW w:w="5087" w:type="dxa"/>
            <w:vAlign w:val="center"/>
          </w:tcPr>
          <w:p w14:paraId="7EB3416E">
            <w:pPr>
              <w:spacing w:line="380" w:lineRule="exact"/>
              <w:rPr>
                <w:color w:val="000000" w:themeColor="text1"/>
                <w:kern w:val="0"/>
                <w:sz w:val="24"/>
                <w:szCs w:val="24"/>
              </w:rPr>
            </w:pPr>
            <w:r>
              <w:rPr>
                <w:rFonts w:hint="eastAsia" w:cs="宋体"/>
                <w:color w:val="000000" w:themeColor="text1"/>
                <w:kern w:val="0"/>
                <w:sz w:val="24"/>
                <w:szCs w:val="24"/>
              </w:rPr>
              <w:t>内容见项目专用本。</w:t>
            </w:r>
          </w:p>
        </w:tc>
      </w:tr>
      <w:tr w14:paraId="3AEF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3D407887">
            <w:pPr>
              <w:widowControl/>
              <w:spacing w:line="380" w:lineRule="exact"/>
              <w:rPr>
                <w:b/>
                <w:bCs/>
                <w:color w:val="000000" w:themeColor="text1"/>
                <w:kern w:val="0"/>
                <w:sz w:val="24"/>
                <w:szCs w:val="24"/>
              </w:rPr>
            </w:pPr>
            <w:r>
              <w:rPr>
                <w:rFonts w:hint="eastAsia" w:cs="宋体"/>
                <w:b/>
                <w:bCs/>
                <w:color w:val="000000" w:themeColor="text1"/>
                <w:kern w:val="0"/>
                <w:sz w:val="24"/>
                <w:szCs w:val="24"/>
              </w:rPr>
              <w:t>第八章工程量清单计量规则</w:t>
            </w:r>
          </w:p>
        </w:tc>
        <w:tc>
          <w:tcPr>
            <w:tcW w:w="5087" w:type="dxa"/>
            <w:vAlign w:val="center"/>
          </w:tcPr>
          <w:p w14:paraId="0B9B466F">
            <w:pPr>
              <w:spacing w:line="380" w:lineRule="exact"/>
              <w:rPr>
                <w:color w:val="000000" w:themeColor="text1"/>
                <w:kern w:val="0"/>
                <w:sz w:val="24"/>
                <w:szCs w:val="24"/>
              </w:rPr>
            </w:pPr>
            <w:r>
              <w:rPr>
                <w:rFonts w:hint="eastAsia" w:cs="宋体"/>
                <w:color w:val="000000" w:themeColor="text1"/>
                <w:kern w:val="0"/>
                <w:sz w:val="24"/>
                <w:szCs w:val="24"/>
              </w:rPr>
              <w:t>内容见项目专用本。</w:t>
            </w:r>
          </w:p>
        </w:tc>
      </w:tr>
      <w:tr w14:paraId="4B35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4D226931">
            <w:pPr>
              <w:widowControl/>
              <w:spacing w:line="380" w:lineRule="exact"/>
              <w:rPr>
                <w:b/>
                <w:bCs/>
                <w:color w:val="000000" w:themeColor="text1"/>
                <w:kern w:val="0"/>
                <w:sz w:val="24"/>
                <w:szCs w:val="24"/>
              </w:rPr>
            </w:pPr>
            <w:r>
              <w:rPr>
                <w:rFonts w:hint="eastAsia" w:cs="宋体"/>
                <w:b/>
                <w:bCs/>
                <w:color w:val="000000" w:themeColor="text1"/>
                <w:kern w:val="0"/>
                <w:sz w:val="24"/>
                <w:szCs w:val="24"/>
              </w:rPr>
              <w:t>第九章投标文件格式</w:t>
            </w:r>
          </w:p>
        </w:tc>
        <w:tc>
          <w:tcPr>
            <w:tcW w:w="5087" w:type="dxa"/>
            <w:vAlign w:val="center"/>
          </w:tcPr>
          <w:p w14:paraId="3EFDD63A">
            <w:pPr>
              <w:spacing w:line="380" w:lineRule="exact"/>
              <w:rPr>
                <w:color w:val="000000" w:themeColor="text1"/>
                <w:kern w:val="0"/>
                <w:sz w:val="24"/>
                <w:szCs w:val="24"/>
              </w:rPr>
            </w:pPr>
            <w:r>
              <w:rPr>
                <w:rFonts w:hint="eastAsia" w:cs="宋体"/>
                <w:color w:val="000000" w:themeColor="text1"/>
                <w:kern w:val="0"/>
                <w:sz w:val="24"/>
                <w:szCs w:val="24"/>
              </w:rPr>
              <w:t>内容见项目专用本。</w:t>
            </w:r>
          </w:p>
        </w:tc>
      </w:tr>
      <w:tr w14:paraId="34BE0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792" w:type="dxa"/>
            <w:gridSpan w:val="2"/>
            <w:vAlign w:val="center"/>
          </w:tcPr>
          <w:p w14:paraId="24B185B8">
            <w:pPr>
              <w:widowControl/>
              <w:spacing w:line="380" w:lineRule="exact"/>
              <w:rPr>
                <w:b/>
                <w:bCs/>
                <w:color w:val="000000" w:themeColor="text1"/>
                <w:kern w:val="0"/>
                <w:sz w:val="24"/>
                <w:szCs w:val="24"/>
              </w:rPr>
            </w:pPr>
            <w:r>
              <w:rPr>
                <w:rFonts w:hint="eastAsia" w:cs="宋体"/>
                <w:b/>
                <w:bCs/>
                <w:color w:val="000000" w:themeColor="text1"/>
                <w:kern w:val="0"/>
                <w:sz w:val="24"/>
                <w:szCs w:val="24"/>
              </w:rPr>
              <w:t>招标文件附件</w:t>
            </w:r>
          </w:p>
        </w:tc>
        <w:tc>
          <w:tcPr>
            <w:tcW w:w="5087" w:type="dxa"/>
            <w:vAlign w:val="center"/>
          </w:tcPr>
          <w:p w14:paraId="0FE6B058">
            <w:pPr>
              <w:spacing w:line="380" w:lineRule="exact"/>
              <w:rPr>
                <w:color w:val="000000" w:themeColor="text1"/>
                <w:kern w:val="0"/>
                <w:sz w:val="24"/>
                <w:szCs w:val="24"/>
              </w:rPr>
            </w:pPr>
            <w:r>
              <w:rPr>
                <w:rFonts w:hint="eastAsia" w:cs="宋体"/>
                <w:color w:val="000000" w:themeColor="text1"/>
                <w:kern w:val="0"/>
                <w:sz w:val="24"/>
                <w:szCs w:val="24"/>
              </w:rPr>
              <w:t>内容见项目专用本。</w:t>
            </w:r>
          </w:p>
        </w:tc>
      </w:tr>
    </w:tbl>
    <w:p w14:paraId="3E95DE38">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四、本项目不接受联合体投标。《江苏省公路水运工程建设项目房建工程标准施工招标文件（2019年版）》中</w:t>
      </w:r>
      <w:r>
        <w:rPr>
          <w:rFonts w:hint="eastAsia" w:ascii="宋体" w:hAnsi="宋体" w:cs="宋体"/>
          <w:b/>
          <w:bCs/>
          <w:color w:val="000000" w:themeColor="text1"/>
          <w:sz w:val="24"/>
          <w:szCs w:val="24"/>
          <w:u w:val="single"/>
        </w:rPr>
        <w:t>关于联合体的相关内容对本项目不适用</w:t>
      </w:r>
      <w:r>
        <w:rPr>
          <w:rFonts w:hint="eastAsia" w:ascii="宋体" w:hAnsi="宋体" w:cs="宋体"/>
          <w:color w:val="000000" w:themeColor="text1"/>
          <w:sz w:val="24"/>
          <w:szCs w:val="24"/>
        </w:rPr>
        <w:t>。本项目专用本不再对《江苏省公路水运工程建设项目房建工程标准施工招标文件（2019年版）》中关于联合体的相关内容进行修改或删减。</w:t>
      </w:r>
    </w:p>
    <w:p w14:paraId="7CA85B5B">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五、本项目招标文件及所使用的《江苏省公路水运工程建设项目房建工程标准施工招标文件（</w:t>
      </w:r>
      <w:r>
        <w:rPr>
          <w:rFonts w:ascii="宋体" w:hAnsi="宋体" w:cs="宋体"/>
          <w:color w:val="000000" w:themeColor="text1"/>
          <w:sz w:val="24"/>
          <w:szCs w:val="24"/>
        </w:rPr>
        <w:t>2019</w:t>
      </w:r>
      <w:r>
        <w:rPr>
          <w:rFonts w:hint="eastAsia" w:ascii="宋体" w:hAnsi="宋体" w:cs="宋体"/>
          <w:color w:val="000000" w:themeColor="text1"/>
          <w:sz w:val="24"/>
          <w:szCs w:val="24"/>
        </w:rPr>
        <w:t>年版）》中的交工是指本项目的实际竣工。</w:t>
      </w:r>
    </w:p>
    <w:p w14:paraId="095AE959">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六、本项目采用资格后审、固化清单形式，</w:t>
      </w:r>
      <w:r>
        <w:rPr>
          <w:rFonts w:hint="eastAsia" w:ascii="宋体" w:hAnsi="宋体" w:cs="宋体"/>
          <w:b/>
          <w:bCs/>
          <w:color w:val="000000" w:themeColor="text1"/>
          <w:sz w:val="24"/>
          <w:szCs w:val="24"/>
          <w:u w:val="single"/>
        </w:rPr>
        <w:t>评标办法采用合理低价法。</w:t>
      </w:r>
    </w:p>
    <w:p w14:paraId="2A8F1727">
      <w:pPr>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七、《江苏省公路水运工程建设项目房建工程标准施工招标文件（2019年版）》由投标人自备。</w:t>
      </w:r>
    </w:p>
    <w:p w14:paraId="6D745DA3">
      <w:pPr>
        <w:rPr>
          <w:rFonts w:cs="黑体"/>
          <w:color w:val="000000" w:themeColor="text1"/>
          <w:sz w:val="44"/>
          <w:szCs w:val="44"/>
        </w:rPr>
      </w:pPr>
      <w:r>
        <w:rPr>
          <w:rFonts w:hint="eastAsia" w:cs="宋体"/>
          <w:color w:val="000000" w:themeColor="text1"/>
          <w:sz w:val="32"/>
          <w:szCs w:val="32"/>
        </w:rPr>
        <w:br w:type="page"/>
      </w:r>
      <w:sdt>
        <w:sdtPr>
          <w:rPr>
            <w:color w:val="000000" w:themeColor="text1"/>
          </w:rPr>
          <w:id w:val="147453172"/>
          <w:showingPlcHdr/>
          <w:docPartObj>
            <w:docPartGallery w:val="Table of Contents"/>
            <w:docPartUnique/>
          </w:docPartObj>
        </w:sdtPr>
        <w:sdtEndPr>
          <w:rPr>
            <w:rFonts w:hint="eastAsia" w:cs="黑体"/>
            <w:color w:val="000000" w:themeColor="text1"/>
            <w:szCs w:val="44"/>
          </w:rPr>
        </w:sdtEndPr>
        <w:sdtContent/>
      </w:sdt>
    </w:p>
    <w:p w14:paraId="14ACBA45">
      <w:pPr>
        <w:rPr>
          <w:rFonts w:cs="宋体"/>
          <w:color w:val="000000" w:themeColor="text1"/>
          <w:sz w:val="32"/>
          <w:szCs w:val="32"/>
        </w:rPr>
      </w:pPr>
    </w:p>
    <w:p w14:paraId="3AC72FB4">
      <w:pPr>
        <w:pStyle w:val="2"/>
        <w:spacing w:before="120" w:beforeLines="50" w:after="120" w:afterLines="50" w:line="240" w:lineRule="auto"/>
        <w:jc w:val="center"/>
        <w:rPr>
          <w:rFonts w:cs="宋体"/>
          <w:color w:val="000000" w:themeColor="text1"/>
          <w:sz w:val="32"/>
          <w:szCs w:val="32"/>
        </w:rPr>
      </w:pPr>
      <w:bookmarkStart w:id="12" w:name="_Toc7728"/>
      <w:r>
        <w:rPr>
          <w:rFonts w:hint="eastAsia" w:cs="宋体"/>
          <w:color w:val="000000" w:themeColor="text1"/>
          <w:sz w:val="32"/>
          <w:szCs w:val="32"/>
        </w:rPr>
        <w:t>第一章招标公告</w:t>
      </w:r>
      <w:bookmarkEnd w:id="12"/>
    </w:p>
    <w:p w14:paraId="03A9B26F">
      <w:pPr>
        <w:jc w:val="center"/>
        <w:rPr>
          <w:rFonts w:hint="eastAsia" w:cs="宋体"/>
          <w:b/>
          <w:bCs/>
          <w:color w:val="000000" w:themeColor="text1"/>
          <w:sz w:val="32"/>
          <w:szCs w:val="32"/>
        </w:rPr>
      </w:pPr>
      <w:r>
        <w:rPr>
          <w:rFonts w:hint="eastAsia" w:cs="宋体"/>
          <w:b/>
          <w:bCs/>
          <w:color w:val="000000" w:themeColor="text1"/>
          <w:sz w:val="32"/>
          <w:szCs w:val="32"/>
        </w:rPr>
        <w:t>南通市港航事业发展中心海门分中心房屋修缮工程</w:t>
      </w:r>
    </w:p>
    <w:p w14:paraId="4C427C98">
      <w:pPr>
        <w:jc w:val="center"/>
        <w:rPr>
          <w:b/>
          <w:bCs/>
          <w:color w:val="000000" w:themeColor="text1"/>
          <w:sz w:val="32"/>
          <w:szCs w:val="32"/>
        </w:rPr>
      </w:pPr>
      <w:r>
        <w:rPr>
          <w:rFonts w:hint="eastAsia" w:cs="宋体"/>
          <w:b/>
          <w:bCs/>
          <w:color w:val="000000" w:themeColor="text1"/>
          <w:sz w:val="32"/>
          <w:szCs w:val="32"/>
        </w:rPr>
        <w:t>招标公告</w:t>
      </w:r>
    </w:p>
    <w:p w14:paraId="30D01AC1">
      <w:pPr>
        <w:pStyle w:val="18"/>
        <w:topLinePunct/>
        <w:spacing w:line="360" w:lineRule="auto"/>
        <w:ind w:firstLine="482" w:firstLineChars="200"/>
        <w:rPr>
          <w:rFonts w:hAnsi="宋体"/>
          <w:b/>
          <w:bCs/>
          <w:color w:val="000000" w:themeColor="text1"/>
        </w:rPr>
      </w:pPr>
      <w:r>
        <w:rPr>
          <w:rFonts w:hint="eastAsia" w:hAnsi="宋体"/>
          <w:b/>
          <w:bCs/>
          <w:color w:val="000000" w:themeColor="text1"/>
        </w:rPr>
        <w:t>1. 招标条件</w:t>
      </w:r>
    </w:p>
    <w:p w14:paraId="33D5E225">
      <w:pPr>
        <w:adjustRightInd w:val="0"/>
        <w:snapToGrid w:val="0"/>
        <w:spacing w:line="360" w:lineRule="auto"/>
        <w:ind w:firstLine="468" w:firstLineChars="200"/>
        <w:rPr>
          <w:rFonts w:ascii="宋体" w:hAnsi="宋体" w:cs="宋体"/>
          <w:color w:val="000000" w:themeColor="text1"/>
          <w:spacing w:val="27"/>
        </w:rPr>
      </w:pPr>
      <w:r>
        <w:rPr>
          <w:rFonts w:hint="eastAsia" w:ascii="宋体" w:hAnsi="宋体" w:cs="宋体"/>
          <w:color w:val="000000" w:themeColor="text1"/>
          <w:spacing w:val="12"/>
        </w:rPr>
        <w:t>本招标项目</w:t>
      </w:r>
      <w:r>
        <w:rPr>
          <w:rFonts w:hint="eastAsia" w:ascii="宋体" w:hAnsi="宋体" w:cs="宋体"/>
          <w:color w:val="000000" w:themeColor="text1"/>
          <w:spacing w:val="12"/>
          <w:u w:val="single"/>
        </w:rPr>
        <w:t>南通市港航事业发展中心海门分中心房屋修缮工程</w:t>
      </w:r>
      <w:r>
        <w:rPr>
          <w:rFonts w:hint="eastAsia" w:ascii="宋体" w:hAnsi="宋体" w:cs="宋体"/>
          <w:color w:val="000000" w:themeColor="text1"/>
          <w:spacing w:val="12"/>
        </w:rPr>
        <w:t>已由</w:t>
      </w:r>
      <w:r>
        <w:rPr>
          <w:rFonts w:hint="eastAsia" w:ascii="宋体" w:hAnsi="宋体" w:cs="宋体"/>
          <w:color w:val="000000" w:themeColor="text1"/>
          <w:spacing w:val="12"/>
          <w:u w:val="single"/>
        </w:rPr>
        <w:t>南通市港航事业发展中心</w:t>
      </w:r>
      <w:r>
        <w:rPr>
          <w:rFonts w:hint="eastAsia" w:ascii="宋体" w:hAnsi="宋体" w:cs="宋体"/>
          <w:color w:val="000000" w:themeColor="text1"/>
          <w:spacing w:val="27"/>
        </w:rPr>
        <w:t>批准建设，</w:t>
      </w:r>
      <w:r>
        <w:rPr>
          <w:rFonts w:hint="eastAsia" w:ascii="宋体" w:hAnsi="宋体" w:cs="宋体"/>
          <w:color w:val="000000" w:themeColor="text1"/>
          <w:spacing w:val="12"/>
        </w:rPr>
        <w:t>建设资金已落实</w:t>
      </w:r>
      <w:r>
        <w:rPr>
          <w:rFonts w:hint="eastAsia" w:ascii="宋体" w:hAnsi="宋体" w:cs="宋体"/>
          <w:color w:val="000000" w:themeColor="text1"/>
          <w:spacing w:val="-31"/>
        </w:rPr>
        <w:t>，</w:t>
      </w:r>
      <w:r>
        <w:rPr>
          <w:rFonts w:hint="eastAsia" w:ascii="宋体" w:hAnsi="宋体" w:cs="宋体"/>
          <w:color w:val="000000" w:themeColor="text1"/>
        </w:rPr>
        <w:t>招标人为</w:t>
      </w:r>
      <w:r>
        <w:rPr>
          <w:rFonts w:hint="eastAsia" w:ascii="宋体" w:hAnsi="宋体" w:cs="宋体"/>
          <w:color w:val="000000" w:themeColor="text1"/>
          <w:u w:val="single"/>
        </w:rPr>
        <w:t>南通市港航事业发展中心</w:t>
      </w:r>
      <w:r>
        <w:rPr>
          <w:rFonts w:hint="eastAsia" w:ascii="宋体" w:hAnsi="宋体" w:cs="宋体"/>
          <w:color w:val="000000" w:themeColor="text1"/>
          <w:spacing w:val="-31"/>
        </w:rPr>
        <w:t>。</w:t>
      </w:r>
      <w:r>
        <w:rPr>
          <w:rFonts w:hint="eastAsia" w:ascii="宋体" w:hAnsi="宋体" w:cs="宋体"/>
          <w:color w:val="000000" w:themeColor="text1"/>
        </w:rPr>
        <w:t>项目已具备招标条件</w:t>
      </w:r>
      <w:r>
        <w:rPr>
          <w:rFonts w:hint="eastAsia" w:ascii="宋体" w:hAnsi="宋体" w:cs="宋体"/>
          <w:color w:val="000000" w:themeColor="text1"/>
          <w:spacing w:val="-31"/>
        </w:rPr>
        <w:t>，</w:t>
      </w:r>
      <w:r>
        <w:rPr>
          <w:rFonts w:hint="eastAsia" w:ascii="宋体" w:hAnsi="宋体" w:cs="宋体"/>
          <w:color w:val="000000" w:themeColor="text1"/>
        </w:rPr>
        <w:t>现对该项目的施工进行公开招标。</w:t>
      </w:r>
    </w:p>
    <w:p w14:paraId="4FD3F951">
      <w:pPr>
        <w:pStyle w:val="18"/>
        <w:topLinePunct/>
        <w:spacing w:line="360" w:lineRule="auto"/>
        <w:ind w:firstLine="482" w:firstLineChars="200"/>
        <w:rPr>
          <w:rFonts w:hAnsi="宋体"/>
          <w:b/>
          <w:bCs/>
          <w:color w:val="000000" w:themeColor="text1"/>
        </w:rPr>
      </w:pPr>
      <w:r>
        <w:rPr>
          <w:rFonts w:hint="eastAsia" w:hAnsi="宋体"/>
          <w:b/>
          <w:bCs/>
          <w:color w:val="000000" w:themeColor="text1"/>
        </w:rPr>
        <w:t>2. 项目概况与招标范围</w:t>
      </w:r>
    </w:p>
    <w:p w14:paraId="21210425">
      <w:pPr>
        <w:adjustRightInd w:val="0"/>
        <w:snapToGrid w:val="0"/>
        <w:spacing w:line="360" w:lineRule="auto"/>
        <w:ind w:firstLine="420" w:firstLineChars="200"/>
        <w:jc w:val="left"/>
        <w:rPr>
          <w:rFonts w:ascii="宋体" w:hAnsi="宋体" w:cs="宋体"/>
          <w:color w:val="000000" w:themeColor="text1"/>
        </w:rPr>
      </w:pPr>
      <w:r>
        <w:rPr>
          <w:rFonts w:hint="eastAsia" w:ascii="宋体" w:hAnsi="宋体" w:cs="宋体"/>
          <w:color w:val="000000" w:themeColor="text1"/>
        </w:rPr>
        <w:t>2.1 项目概况：</w:t>
      </w:r>
    </w:p>
    <w:p w14:paraId="502F3923">
      <w:pPr>
        <w:snapToGrid w:val="0"/>
        <w:spacing w:line="312" w:lineRule="auto"/>
        <w:ind w:firstLine="420" w:firstLineChars="200"/>
        <w:rPr>
          <w:rFonts w:ascii="宋体" w:hAnsi="宋体" w:cs="宋体"/>
          <w:color w:val="000000"/>
          <w:highlight w:val="none"/>
        </w:rPr>
      </w:pPr>
      <w:bookmarkStart w:id="13" w:name="_Hlk162859841"/>
      <w:r>
        <w:rPr>
          <w:rFonts w:hint="eastAsia" w:ascii="宋体" w:hAnsi="宋体" w:cs="宋体"/>
          <w:color w:val="000000"/>
          <w:highlight w:val="none"/>
        </w:rPr>
        <w:t>南通市港航事业发展中心海门分中心办公场所西南角的砖木结构平房存在平房墙面砖体损坏、墙皮脱落，屋顶木头开裂、瓦片损坏、漏水等情况；部分办公室北墙面的墙皮出现大面积脱落，阴雨天气返潮渗水等情况，现对南通市港航事业发展中心海门分中心房屋进行修缮</w:t>
      </w:r>
      <w:bookmarkEnd w:id="13"/>
      <w:r>
        <w:rPr>
          <w:rFonts w:hint="eastAsia" w:ascii="宋体" w:hAnsi="宋体" w:cs="宋体"/>
          <w:color w:val="000000"/>
          <w:highlight w:val="none"/>
        </w:rPr>
        <w:t>。建安费约6万元。</w:t>
      </w:r>
    </w:p>
    <w:p w14:paraId="60F11E17">
      <w:pPr>
        <w:adjustRightInd w:val="0"/>
        <w:snapToGrid w:val="0"/>
        <w:spacing w:line="360" w:lineRule="auto"/>
        <w:ind w:firstLine="420" w:firstLineChars="200"/>
        <w:jc w:val="left"/>
        <w:rPr>
          <w:rFonts w:ascii="宋体" w:hAnsi="宋体" w:cs="宋体"/>
          <w:color w:val="000000" w:themeColor="text1"/>
        </w:rPr>
      </w:pPr>
      <w:r>
        <w:rPr>
          <w:rFonts w:hint="eastAsia" w:ascii="宋体" w:hAnsi="宋体" w:cs="宋体"/>
          <w:color w:val="000000" w:themeColor="text1"/>
        </w:rPr>
        <w:t>2.2.招标范围与工作内容：</w:t>
      </w:r>
    </w:p>
    <w:p w14:paraId="76FF601A">
      <w:pPr>
        <w:adjustRightInd w:val="0"/>
        <w:snapToGrid w:val="0"/>
        <w:spacing w:line="360" w:lineRule="auto"/>
        <w:ind w:firstLine="420" w:firstLineChars="200"/>
        <w:jc w:val="left"/>
        <w:rPr>
          <w:rFonts w:ascii="宋体" w:hAnsi="宋体" w:cs="宋体"/>
          <w:color w:val="000000" w:themeColor="text1"/>
          <w:highlight w:val="none"/>
        </w:rPr>
      </w:pPr>
      <w:r>
        <w:rPr>
          <w:rFonts w:hint="eastAsia" w:ascii="宋体" w:hAnsi="宋体" w:cs="宋体"/>
        </w:rPr>
        <w:t>南通市港航事业发展中心海门分中心房屋修缮工程主要工作内容为屋面拆除、墙面铲除、顶面防水、贴砖等</w:t>
      </w:r>
      <w:r>
        <w:rPr>
          <w:rFonts w:hint="eastAsia" w:ascii="宋体" w:hAnsi="宋体" w:cs="宋体"/>
          <w:highlight w:val="none"/>
        </w:rPr>
        <w:t>，</w:t>
      </w:r>
      <w:r>
        <w:rPr>
          <w:rFonts w:hint="eastAsia" w:ascii="宋体" w:hAnsi="宋体" w:cs="宋体"/>
          <w:color w:val="000000" w:themeColor="text1"/>
          <w:highlight w:val="none"/>
        </w:rPr>
        <w:t>具体内容详见工程量清单。</w:t>
      </w:r>
    </w:p>
    <w:p w14:paraId="1A923747">
      <w:pPr>
        <w:adjustRightInd w:val="0"/>
        <w:snapToGrid w:val="0"/>
        <w:spacing w:line="360" w:lineRule="auto"/>
        <w:ind w:firstLine="420" w:firstLineChars="200"/>
        <w:jc w:val="left"/>
        <w:rPr>
          <w:rFonts w:ascii="宋体" w:hAnsi="宋体" w:cs="宋体"/>
          <w:color w:val="000000" w:themeColor="text1"/>
          <w:highlight w:val="none"/>
        </w:rPr>
      </w:pPr>
      <w:r>
        <w:rPr>
          <w:rFonts w:hint="eastAsia" w:ascii="宋体" w:hAnsi="宋体" w:cs="宋体"/>
          <w:color w:val="000000" w:themeColor="text1"/>
          <w:highlight w:val="none"/>
        </w:rPr>
        <w:t>计划工期：25日历天，计划开始时间2024年10月</w:t>
      </w:r>
      <w:r>
        <w:rPr>
          <w:rFonts w:hint="eastAsia" w:ascii="宋体" w:hAnsi="宋体" w:cs="宋体"/>
          <w:color w:val="000000" w:themeColor="text1"/>
          <w:highlight w:val="none"/>
          <w:lang w:val="en-US" w:eastAsia="zh-CN"/>
        </w:rPr>
        <w:t>23</w:t>
      </w:r>
      <w:r>
        <w:rPr>
          <w:rFonts w:hint="eastAsia" w:ascii="宋体" w:hAnsi="宋体" w:cs="宋体"/>
          <w:color w:val="000000" w:themeColor="text1"/>
          <w:highlight w:val="none"/>
        </w:rPr>
        <w:t>日，具体开工时间以发包人的通知为准。</w:t>
      </w:r>
    </w:p>
    <w:p w14:paraId="10202E1F">
      <w:pPr>
        <w:adjustRightInd w:val="0"/>
        <w:snapToGrid w:val="0"/>
        <w:spacing w:line="360" w:lineRule="auto"/>
        <w:ind w:firstLine="420" w:firstLineChars="200"/>
        <w:jc w:val="left"/>
        <w:rPr>
          <w:rFonts w:ascii="宋体" w:hAnsi="宋体" w:cs="宋体"/>
          <w:color w:val="000000" w:themeColor="text1"/>
          <w:highlight w:val="none"/>
        </w:rPr>
      </w:pPr>
      <w:r>
        <w:rPr>
          <w:rFonts w:hint="eastAsia" w:ascii="宋体" w:hAnsi="宋体" w:cs="宋体"/>
          <w:color w:val="000000" w:themeColor="text1"/>
          <w:highlight w:val="none"/>
        </w:rPr>
        <w:t>质量目标：合格。</w:t>
      </w:r>
    </w:p>
    <w:p w14:paraId="7C6EBE09">
      <w:pPr>
        <w:adjustRightInd w:val="0"/>
        <w:snapToGrid w:val="0"/>
        <w:spacing w:line="360" w:lineRule="auto"/>
        <w:ind w:firstLine="420" w:firstLineChars="200"/>
        <w:jc w:val="left"/>
        <w:rPr>
          <w:rFonts w:ascii="宋体" w:hAnsi="宋体" w:cs="宋体"/>
          <w:color w:val="000000" w:themeColor="text1"/>
        </w:rPr>
      </w:pPr>
      <w:r>
        <w:rPr>
          <w:rFonts w:hint="eastAsia" w:ascii="宋体" w:hAnsi="宋体" w:cs="宋体"/>
          <w:color w:val="000000" w:themeColor="text1"/>
        </w:rPr>
        <w:t>安全目标：安全生产无责任事故。</w:t>
      </w:r>
    </w:p>
    <w:p w14:paraId="7BFFA3CD">
      <w:pPr>
        <w:adjustRightInd w:val="0"/>
        <w:snapToGrid w:val="0"/>
        <w:spacing w:line="360" w:lineRule="auto"/>
        <w:ind w:firstLine="420" w:firstLineChars="200"/>
        <w:jc w:val="left"/>
        <w:rPr>
          <w:rFonts w:ascii="宋体" w:hAnsi="宋体" w:cs="宋体"/>
          <w:color w:val="000000" w:themeColor="text1"/>
        </w:rPr>
      </w:pPr>
      <w:r>
        <w:rPr>
          <w:rFonts w:hint="eastAsia" w:ascii="宋体" w:hAnsi="宋体" w:cs="宋体"/>
          <w:color w:val="000000" w:themeColor="text1"/>
        </w:rPr>
        <w:t>缺陷责任期：</w:t>
      </w:r>
      <w:r>
        <w:rPr>
          <w:rFonts w:hint="eastAsia" w:ascii="宋体" w:hAnsi="宋体" w:cs="宋体"/>
        </w:rPr>
        <w:t>本工程缺陷责任期为</w:t>
      </w:r>
      <w:r>
        <w:rPr>
          <w:rFonts w:hint="eastAsia" w:ascii="宋体" w:hAnsi="宋体" w:cs="宋体"/>
          <w:color w:val="000000" w:themeColor="text1"/>
        </w:rPr>
        <w:t>24个月</w:t>
      </w:r>
      <w:r>
        <w:rPr>
          <w:rFonts w:hint="eastAsia" w:ascii="宋体" w:hAnsi="宋体" w:cs="宋体"/>
        </w:rPr>
        <w:t>（</w:t>
      </w:r>
      <w:r>
        <w:rPr>
          <w:rFonts w:hint="eastAsia" w:ascii="宋体" w:hAnsi="宋体" w:cs="宋体"/>
          <w:color w:val="000000" w:themeColor="text1"/>
        </w:rPr>
        <w:t>自</w:t>
      </w:r>
      <w:r>
        <w:rPr>
          <w:rFonts w:hint="eastAsia" w:ascii="宋体" w:hAnsi="宋体" w:cs="宋体"/>
        </w:rPr>
        <w:t>完工验收合格之日起计算）</w:t>
      </w:r>
      <w:r>
        <w:rPr>
          <w:rFonts w:hint="eastAsia" w:ascii="宋体" w:hAnsi="宋体" w:cs="宋体"/>
          <w:color w:val="000000" w:themeColor="text1"/>
        </w:rPr>
        <w:t>。</w:t>
      </w:r>
    </w:p>
    <w:p w14:paraId="0184CF93">
      <w:pPr>
        <w:pStyle w:val="18"/>
        <w:topLinePunct/>
        <w:spacing w:line="360" w:lineRule="auto"/>
        <w:ind w:firstLine="482" w:firstLineChars="200"/>
        <w:rPr>
          <w:rFonts w:hAnsi="宋体"/>
          <w:b/>
          <w:bCs/>
          <w:color w:val="000000" w:themeColor="text1"/>
        </w:rPr>
      </w:pPr>
      <w:r>
        <w:rPr>
          <w:rFonts w:hint="eastAsia" w:hAnsi="宋体"/>
          <w:b/>
          <w:bCs/>
          <w:color w:val="000000" w:themeColor="text1"/>
        </w:rPr>
        <w:t>3. 投标人资格要求</w:t>
      </w:r>
    </w:p>
    <w:p w14:paraId="1B061C27">
      <w:pPr>
        <w:adjustRightInd w:val="0"/>
        <w:snapToGrid w:val="0"/>
        <w:spacing w:line="360" w:lineRule="auto"/>
        <w:ind w:firstLine="420" w:firstLineChars="200"/>
        <w:jc w:val="left"/>
        <w:rPr>
          <w:rFonts w:ascii="宋体" w:hAnsi="宋体" w:cs="宋体"/>
          <w:color w:val="000000" w:themeColor="text1"/>
        </w:rPr>
      </w:pPr>
      <w:bookmarkStart w:id="14" w:name="_Hlk44357884"/>
      <w:r>
        <w:rPr>
          <w:rFonts w:hint="eastAsia" w:ascii="宋体" w:hAnsi="宋体" w:cs="宋体"/>
          <w:color w:val="000000" w:themeColor="text1"/>
        </w:rPr>
        <w:t>3.1投标人应具备承担本次招标项目的资质条件、能力和信誉要求为：</w:t>
      </w:r>
    </w:p>
    <w:p w14:paraId="160AE075">
      <w:pPr>
        <w:adjustRightInd w:val="0"/>
        <w:snapToGrid w:val="0"/>
        <w:spacing w:line="360" w:lineRule="auto"/>
        <w:ind w:firstLine="420" w:firstLineChars="200"/>
        <w:jc w:val="left"/>
        <w:rPr>
          <w:rFonts w:ascii="宋体" w:hAnsi="宋体" w:cs="宋体"/>
          <w:color w:val="000000" w:themeColor="text1"/>
        </w:rPr>
      </w:pPr>
      <w:bookmarkStart w:id="15" w:name="_Hlk164875946"/>
      <w:bookmarkStart w:id="16" w:name="_Hlk164876052"/>
      <w:r>
        <w:rPr>
          <w:rFonts w:hint="eastAsia" w:ascii="宋体" w:hAnsi="宋体" w:cs="宋体"/>
          <w:color w:val="000000" w:themeColor="text1"/>
        </w:rPr>
        <w:t>(1)资质条件：投标人应具有独立法人资格，具有有效企业法人营业执照（或事业单位法人登记证书）；具有有效的基本账户开户许可证或基本存款账户信息；投标人应具有建设行政主管部门颁发的建筑工程施工总承包叁级及以上资质，并具有有效的省级（或以上）建设行政主管部门核发的《安全生产许可证》</w:t>
      </w:r>
      <w:bookmarkEnd w:id="15"/>
      <w:r>
        <w:rPr>
          <w:rFonts w:hint="eastAsia" w:ascii="宋体" w:hAnsi="宋体" w:cs="宋体"/>
          <w:color w:val="000000" w:themeColor="text1"/>
        </w:rPr>
        <w:t>；</w:t>
      </w:r>
    </w:p>
    <w:p w14:paraId="7C70E275">
      <w:pPr>
        <w:adjustRightInd w:val="0"/>
        <w:snapToGrid w:val="0"/>
        <w:spacing w:line="360" w:lineRule="auto"/>
        <w:ind w:firstLine="420" w:firstLineChars="200"/>
        <w:jc w:val="left"/>
        <w:rPr>
          <w:rFonts w:ascii="宋体" w:hAnsi="宋体" w:cs="宋体"/>
          <w:color w:val="000000" w:themeColor="text1"/>
        </w:rPr>
      </w:pPr>
      <w:r>
        <w:rPr>
          <w:rFonts w:hint="eastAsia" w:ascii="宋体" w:hAnsi="宋体" w:cs="宋体"/>
          <w:color w:val="000000" w:themeColor="text1"/>
        </w:rPr>
        <w:t xml:space="preserve"> (2)信誉要求：</w:t>
      </w:r>
    </w:p>
    <w:p w14:paraId="25E3B6F2">
      <w:pPr>
        <w:spacing w:line="360" w:lineRule="auto"/>
        <w:ind w:firstLine="422" w:firstLineChars="200"/>
        <w:rPr>
          <w:rFonts w:ascii="宋体" w:hAnsi="宋体" w:cs="宋体"/>
          <w:b/>
          <w:bCs/>
          <w:color w:val="000000" w:themeColor="text1"/>
        </w:rPr>
      </w:pPr>
      <w:r>
        <w:rPr>
          <w:rFonts w:hint="eastAsia" w:ascii="宋体" w:hAnsi="宋体" w:cs="宋体"/>
          <w:b/>
          <w:bCs/>
          <w:color w:val="000000" w:themeColor="text1"/>
        </w:rPr>
        <w:t>截止投标文件递交时间当日，投标人未在“信用中国”网站（http://www.creditchina.gov.cn/）中被列入失信被执行人名单；</w:t>
      </w:r>
    </w:p>
    <w:p w14:paraId="7A89D1DC">
      <w:pPr>
        <w:spacing w:line="360" w:lineRule="auto"/>
        <w:ind w:firstLine="422" w:firstLineChars="200"/>
        <w:rPr>
          <w:rFonts w:ascii="宋体" w:hAnsi="宋体" w:cs="宋体"/>
          <w:b/>
          <w:bCs/>
          <w:color w:val="000000" w:themeColor="text1"/>
        </w:rPr>
      </w:pPr>
      <w:r>
        <w:rPr>
          <w:rFonts w:hint="eastAsia" w:ascii="宋体" w:hAnsi="宋体" w:cs="宋体"/>
          <w:b/>
          <w:bCs/>
          <w:color w:val="000000" w:themeColor="text1"/>
        </w:rPr>
        <w:t>截止投标文件递交时间当日，投标人未在国家企业信用信息公示系统（http://www.gsxt.gov.cn/）中被列入严重违法失信企业名单；</w:t>
      </w:r>
    </w:p>
    <w:p w14:paraId="1E26824E">
      <w:pPr>
        <w:adjustRightInd w:val="0"/>
        <w:snapToGrid w:val="0"/>
        <w:spacing w:line="360" w:lineRule="auto"/>
        <w:ind w:firstLine="420" w:firstLineChars="200"/>
        <w:jc w:val="left"/>
        <w:rPr>
          <w:rFonts w:ascii="宋体" w:hAnsi="宋体" w:cs="宋体"/>
        </w:rPr>
      </w:pPr>
      <w:r>
        <w:rPr>
          <w:rFonts w:hint="eastAsia" w:ascii="宋体" w:hAnsi="宋体" w:cs="宋体"/>
        </w:rPr>
        <w:t>(3)项目经理资格：</w:t>
      </w:r>
    </w:p>
    <w:p w14:paraId="08FA7524">
      <w:pPr>
        <w:adjustRightInd w:val="0"/>
        <w:snapToGrid w:val="0"/>
        <w:spacing w:line="360" w:lineRule="auto"/>
        <w:ind w:firstLine="420" w:firstLineChars="200"/>
        <w:jc w:val="left"/>
        <w:rPr>
          <w:rFonts w:ascii="宋体" w:hAnsi="宋体" w:cs="宋体"/>
          <w:color w:val="000000" w:themeColor="text1"/>
        </w:rPr>
      </w:pPr>
      <w:bookmarkStart w:id="17" w:name="_Hlk164876335"/>
      <w:r>
        <w:rPr>
          <w:rFonts w:hint="eastAsia" w:ascii="宋体" w:hAnsi="宋体" w:cs="宋体"/>
          <w:color w:val="000000" w:themeColor="text1"/>
        </w:rPr>
        <w:t>a、项目经理须具有有效的二级或以上注册建造师资格；具有有效的建设行政主管部门核发的《建筑施工企业项目负责人安全生产考核合格证书》（B证）。</w:t>
      </w:r>
    </w:p>
    <w:bookmarkEnd w:id="17"/>
    <w:p w14:paraId="0F695D27">
      <w:pPr>
        <w:adjustRightInd w:val="0"/>
        <w:snapToGrid w:val="0"/>
        <w:spacing w:line="360" w:lineRule="auto"/>
        <w:ind w:firstLine="420" w:firstLineChars="200"/>
        <w:jc w:val="left"/>
        <w:rPr>
          <w:rFonts w:ascii="宋体" w:hAnsi="宋体" w:cs="宋体"/>
          <w:color w:val="000000" w:themeColor="text1"/>
        </w:rPr>
      </w:pPr>
      <w:r>
        <w:rPr>
          <w:rFonts w:hint="eastAsia" w:ascii="宋体" w:hAnsi="宋体" w:cs="宋体"/>
          <w:color w:val="000000" w:themeColor="text1"/>
        </w:rPr>
        <w:t>b、项目经理无在岗项目【指目前未在其他项目上任职，或虽在其他项目上任职但本项目中标后能够立即赴本项目任职（提供任职承诺）】</w:t>
      </w:r>
    </w:p>
    <w:p w14:paraId="4B5F8880">
      <w:pPr>
        <w:adjustRightInd w:val="0"/>
        <w:snapToGrid w:val="0"/>
        <w:spacing w:line="360" w:lineRule="auto"/>
        <w:ind w:firstLine="420" w:firstLineChars="200"/>
        <w:jc w:val="left"/>
        <w:rPr>
          <w:rFonts w:ascii="宋体" w:hAnsi="宋体" w:cs="宋体"/>
          <w:color w:val="000000" w:themeColor="text1"/>
        </w:rPr>
      </w:pPr>
      <w:r>
        <w:rPr>
          <w:rFonts w:hint="eastAsia" w:ascii="宋体" w:hAnsi="宋体" w:cs="宋体"/>
          <w:color w:val="000000" w:themeColor="text1"/>
        </w:rPr>
        <w:t>c、拟派的项目经理必须为投标单位正式人员，出具投标人为其缴纳的最近1个月（2024年7月或2024年8月或2024年9月）的社保缴费证明[社保缴纳证明材料需含缴费起止时间、缴费单位、缴费人员姓名并由社保机构加盖缴费证明专用章，社保机构官网上打印件与线下的盖章件具有同等效力，缴费单位须与投标人名称一致（投标人下属不具备独立法人资格的分支机构缴纳的社保视为本单位）。若社保缴费证明材料中体现缴费类别的，则至少包含养老保险。]。</w:t>
      </w:r>
    </w:p>
    <w:bookmarkEnd w:id="16"/>
    <w:p w14:paraId="21CF8682">
      <w:pPr>
        <w:adjustRightInd w:val="0"/>
        <w:snapToGrid w:val="0"/>
        <w:spacing w:line="360" w:lineRule="auto"/>
        <w:ind w:firstLine="420" w:firstLineChars="200"/>
        <w:jc w:val="left"/>
        <w:rPr>
          <w:rFonts w:ascii="宋体" w:hAnsi="宋体" w:cs="宋体"/>
          <w:color w:val="000000" w:themeColor="text1"/>
        </w:rPr>
      </w:pPr>
      <w:r>
        <w:rPr>
          <w:rFonts w:hint="eastAsia" w:ascii="宋体" w:hAnsi="宋体" w:cs="宋体"/>
          <w:color w:val="000000" w:themeColor="text1"/>
        </w:rPr>
        <w:t>3.2 本次招标不接受联合体投标。</w:t>
      </w:r>
    </w:p>
    <w:p w14:paraId="7EB6ABB8">
      <w:pPr>
        <w:adjustRightInd w:val="0"/>
        <w:snapToGrid w:val="0"/>
        <w:spacing w:line="360" w:lineRule="auto"/>
        <w:ind w:firstLine="420" w:firstLineChars="200"/>
        <w:jc w:val="left"/>
        <w:rPr>
          <w:rFonts w:ascii="宋体" w:hAnsi="宋体" w:cs="宋体"/>
          <w:color w:val="000000" w:themeColor="text1"/>
        </w:rPr>
      </w:pPr>
      <w:r>
        <w:rPr>
          <w:rFonts w:hint="eastAsia" w:ascii="宋体" w:hAnsi="宋体" w:cs="宋体"/>
          <w:color w:val="000000" w:themeColor="text1"/>
        </w:rPr>
        <w:t>3.3与招标人存在利害关系可能影响招标公正性的单位，不得参加投标。单位负责人为同一人或存在控股、管理关系的不同单位，不得参加同一标段投标，否则，相关投标均无效。</w:t>
      </w:r>
    </w:p>
    <w:bookmarkEnd w:id="14"/>
    <w:p w14:paraId="5E14D92B">
      <w:pPr>
        <w:pStyle w:val="18"/>
        <w:topLinePunct/>
        <w:spacing w:line="360" w:lineRule="auto"/>
        <w:ind w:firstLine="482" w:firstLineChars="200"/>
        <w:rPr>
          <w:rFonts w:hAnsi="宋体"/>
          <w:b/>
          <w:bCs/>
          <w:color w:val="000000" w:themeColor="text1"/>
        </w:rPr>
      </w:pPr>
      <w:r>
        <w:rPr>
          <w:rFonts w:hint="eastAsia" w:hAnsi="宋体"/>
          <w:b/>
          <w:bCs/>
          <w:color w:val="000000" w:themeColor="text1"/>
        </w:rPr>
        <w:t>4．</w:t>
      </w:r>
      <w:bookmarkStart w:id="18" w:name="_Toc90106006"/>
      <w:bookmarkStart w:id="19" w:name="_Toc90106825"/>
      <w:bookmarkStart w:id="20" w:name="_Toc90105825"/>
      <w:bookmarkStart w:id="21" w:name="_Toc90106187"/>
      <w:bookmarkStart w:id="22" w:name="_Toc89848285"/>
      <w:bookmarkStart w:id="23" w:name="_Toc90106644"/>
      <w:bookmarkStart w:id="24" w:name="_Toc90104557"/>
      <w:bookmarkStart w:id="25" w:name="_Toc90105075"/>
      <w:bookmarkStart w:id="26" w:name="_Toc90105264"/>
      <w:bookmarkStart w:id="27" w:name="_Toc90105639"/>
      <w:bookmarkStart w:id="28" w:name="_Toc92015767"/>
      <w:bookmarkStart w:id="29" w:name="_Toc90105452"/>
      <w:r>
        <w:rPr>
          <w:rFonts w:hint="eastAsia" w:hAnsi="宋体"/>
          <w:b/>
          <w:bCs/>
          <w:color w:val="000000" w:themeColor="text1"/>
        </w:rPr>
        <w:t>招标文件的获取</w:t>
      </w:r>
    </w:p>
    <w:p w14:paraId="4D972DF8">
      <w:pPr>
        <w:pStyle w:val="18"/>
        <w:topLinePunct/>
        <w:spacing w:line="360" w:lineRule="auto"/>
        <w:ind w:firstLine="420" w:firstLineChars="200"/>
        <w:rPr>
          <w:rFonts w:hAnsi="宋体"/>
          <w:color w:val="000000" w:themeColor="text1"/>
          <w:sz w:val="21"/>
          <w:szCs w:val="21"/>
          <w:highlight w:val="none"/>
        </w:rPr>
      </w:pPr>
      <w:r>
        <w:rPr>
          <w:rFonts w:hint="eastAsia" w:hAnsi="宋体"/>
          <w:color w:val="000000" w:themeColor="text1"/>
          <w:sz w:val="21"/>
          <w:szCs w:val="21"/>
          <w:highlight w:val="none"/>
        </w:rPr>
        <w:t>凡有意参与本项目投标的，自公告上网发布之日起</w:t>
      </w:r>
      <w:r>
        <w:rPr>
          <w:rFonts w:hint="eastAsia" w:hAnsi="宋体"/>
          <w:color w:val="000000" w:themeColor="text1"/>
          <w:sz w:val="21"/>
          <w:szCs w:val="21"/>
          <w:highlight w:val="none"/>
          <w:lang w:val="en-US" w:eastAsia="zh-CN"/>
        </w:rPr>
        <w:t>至</w:t>
      </w:r>
      <w:r>
        <w:rPr>
          <w:rFonts w:hint="eastAsia" w:hAnsi="宋体"/>
          <w:color w:val="000000" w:themeColor="text1"/>
          <w:sz w:val="21"/>
          <w:szCs w:val="21"/>
          <w:highlight w:val="none"/>
        </w:rPr>
        <w:t>2024年</w:t>
      </w:r>
      <w:r>
        <w:rPr>
          <w:rFonts w:hint="eastAsia" w:hAnsi="宋体"/>
          <w:color w:val="000000" w:themeColor="text1"/>
          <w:sz w:val="21"/>
          <w:szCs w:val="21"/>
          <w:highlight w:val="none"/>
          <w:lang w:val="en-US" w:eastAsia="zh-CN"/>
        </w:rPr>
        <w:t>10</w:t>
      </w:r>
      <w:r>
        <w:rPr>
          <w:rFonts w:hint="eastAsia" w:hAnsi="宋体"/>
          <w:color w:val="000000" w:themeColor="text1"/>
          <w:sz w:val="21"/>
          <w:szCs w:val="21"/>
          <w:highlight w:val="none"/>
        </w:rPr>
        <w:t>月</w:t>
      </w:r>
      <w:r>
        <w:rPr>
          <w:rFonts w:hint="eastAsia" w:hAnsi="宋体"/>
          <w:color w:val="000000" w:themeColor="text1"/>
          <w:sz w:val="21"/>
          <w:szCs w:val="21"/>
          <w:highlight w:val="none"/>
          <w:lang w:val="en-US" w:eastAsia="zh-CN"/>
        </w:rPr>
        <w:t>15</w:t>
      </w:r>
      <w:r>
        <w:rPr>
          <w:rFonts w:hint="eastAsia" w:hAnsi="宋体"/>
          <w:color w:val="000000" w:themeColor="text1"/>
          <w:sz w:val="21"/>
          <w:szCs w:val="21"/>
          <w:highlight w:val="none"/>
        </w:rPr>
        <w:t>日，每日工作时间：上午9:00—11:30整，下午13:30—17:30整（双休、节假日除外）将《申请函》（格式见本项目公告附件）发彩色扫描件至招标人邮箱（</w:t>
      </w:r>
      <w:r>
        <w:rPr>
          <w:rFonts w:hAnsi="宋体"/>
          <w:color w:val="000000" w:themeColor="text1"/>
          <w:sz w:val="21"/>
          <w:szCs w:val="21"/>
          <w:highlight w:val="none"/>
        </w:rPr>
        <w:t>NTGHHM@163.com</w:t>
      </w:r>
      <w:r>
        <w:rPr>
          <w:rFonts w:hint="eastAsia" w:hAnsi="宋体"/>
          <w:color w:val="000000" w:themeColor="text1"/>
          <w:sz w:val="21"/>
          <w:szCs w:val="21"/>
          <w:highlight w:val="none"/>
        </w:rPr>
        <w:t xml:space="preserve">）中，并致电招标人确认邮件送达，确认是否参与本次投标的相关事宜。 </w:t>
      </w:r>
    </w:p>
    <w:p w14:paraId="13DA378C">
      <w:pPr>
        <w:pStyle w:val="18"/>
        <w:topLinePunct/>
        <w:spacing w:line="360" w:lineRule="auto"/>
        <w:ind w:firstLine="420" w:firstLineChars="200"/>
        <w:rPr>
          <w:rFonts w:hAnsi="宋体"/>
          <w:color w:val="000000" w:themeColor="text1"/>
          <w:sz w:val="21"/>
          <w:szCs w:val="21"/>
          <w:highlight w:val="none"/>
        </w:rPr>
      </w:pPr>
      <w:r>
        <w:rPr>
          <w:rFonts w:hint="eastAsia" w:hAnsi="宋体"/>
          <w:color w:val="000000" w:themeColor="text1"/>
          <w:sz w:val="21"/>
          <w:szCs w:val="21"/>
          <w:highlight w:val="none"/>
        </w:rPr>
        <w:t>（注：以上时间均为北京时间）</w:t>
      </w:r>
    </w:p>
    <w:p w14:paraId="61CB4E3F">
      <w:pPr>
        <w:adjustRightInd w:val="0"/>
        <w:spacing w:line="360" w:lineRule="auto"/>
        <w:ind w:firstLine="420" w:firstLineChars="200"/>
        <w:rPr>
          <w:rFonts w:ascii="宋体" w:hAnsi="宋体" w:cs="宋体"/>
          <w:b/>
          <w:bCs/>
          <w:color w:val="000000" w:themeColor="text1"/>
          <w:highlight w:val="none"/>
        </w:rPr>
      </w:pPr>
      <w:r>
        <w:rPr>
          <w:rFonts w:hint="eastAsia" w:hAnsi="宋体"/>
          <w:color w:val="000000" w:themeColor="text1"/>
          <w:highlight w:val="none"/>
        </w:rPr>
        <w:t>注：未按上述要求进行申请及获取询价文件的，视为放弃本项目投标</w:t>
      </w:r>
      <w:r>
        <w:rPr>
          <w:rFonts w:hint="eastAsia" w:ascii="宋体" w:hAnsi="宋体" w:cs="宋体"/>
          <w:b/>
          <w:bCs/>
          <w:color w:val="000000" w:themeColor="text1"/>
          <w:highlight w:val="none"/>
        </w:rPr>
        <w:t>。</w:t>
      </w:r>
    </w:p>
    <w:p w14:paraId="2AD99E5C">
      <w:pPr>
        <w:pStyle w:val="18"/>
        <w:topLinePunct/>
        <w:spacing w:line="360" w:lineRule="auto"/>
        <w:ind w:firstLine="482" w:firstLineChars="200"/>
        <w:rPr>
          <w:rFonts w:hAnsi="宋体"/>
          <w:b/>
          <w:bCs/>
          <w:color w:val="000000" w:themeColor="text1"/>
          <w:highlight w:val="none"/>
        </w:rPr>
      </w:pPr>
      <w:r>
        <w:rPr>
          <w:rFonts w:hint="eastAsia" w:hAnsi="宋体"/>
          <w:b/>
          <w:bCs/>
          <w:color w:val="000000" w:themeColor="text1"/>
          <w:highlight w:val="none"/>
        </w:rPr>
        <w:t>5．投标文件的递交及相关事宜</w:t>
      </w:r>
    </w:p>
    <w:bookmarkEnd w:id="18"/>
    <w:bookmarkEnd w:id="19"/>
    <w:bookmarkEnd w:id="20"/>
    <w:bookmarkEnd w:id="21"/>
    <w:bookmarkEnd w:id="22"/>
    <w:bookmarkEnd w:id="23"/>
    <w:bookmarkEnd w:id="24"/>
    <w:bookmarkEnd w:id="25"/>
    <w:bookmarkEnd w:id="26"/>
    <w:bookmarkEnd w:id="27"/>
    <w:bookmarkEnd w:id="28"/>
    <w:bookmarkEnd w:id="29"/>
    <w:p w14:paraId="311211A5">
      <w:pPr>
        <w:adjustRightInd w:val="0"/>
        <w:spacing w:line="360" w:lineRule="auto"/>
        <w:ind w:firstLine="420" w:firstLineChars="200"/>
        <w:rPr>
          <w:rFonts w:ascii="宋体" w:hAnsi="宋体" w:cs="宋体"/>
          <w:color w:val="000000" w:themeColor="text1"/>
          <w:highlight w:val="none"/>
        </w:rPr>
      </w:pPr>
      <w:bookmarkStart w:id="30" w:name="_Toc90105265"/>
      <w:bookmarkStart w:id="31" w:name="_Toc90106645"/>
      <w:bookmarkStart w:id="32" w:name="_Toc90106826"/>
      <w:bookmarkStart w:id="33" w:name="_Toc90106188"/>
      <w:bookmarkStart w:id="34" w:name="_Toc90106007"/>
      <w:bookmarkStart w:id="35" w:name="_Toc90105076"/>
      <w:bookmarkStart w:id="36" w:name="_Toc90105453"/>
      <w:bookmarkStart w:id="37" w:name="_Toc92015768"/>
      <w:bookmarkStart w:id="38" w:name="_Toc89848286"/>
      <w:bookmarkStart w:id="39" w:name="_Toc90104558"/>
      <w:bookmarkStart w:id="40" w:name="_Toc90105826"/>
      <w:bookmarkStart w:id="41" w:name="_Toc90105640"/>
      <w:r>
        <w:rPr>
          <w:rFonts w:hint="eastAsia" w:ascii="宋体" w:hAnsi="宋体" w:cs="宋体"/>
          <w:color w:val="000000" w:themeColor="text1"/>
          <w:highlight w:val="none"/>
        </w:rPr>
        <w:t>5.1、投标文件递交时间：2024年10月</w:t>
      </w:r>
      <w:r>
        <w:rPr>
          <w:rFonts w:hint="eastAsia" w:ascii="宋体" w:hAnsi="宋体" w:cs="宋体"/>
          <w:color w:val="000000" w:themeColor="text1"/>
          <w:highlight w:val="none"/>
          <w:lang w:val="en-US" w:eastAsia="zh-CN"/>
        </w:rPr>
        <w:t>21</w:t>
      </w:r>
      <w:r>
        <w:rPr>
          <w:rFonts w:hint="eastAsia" w:ascii="宋体" w:hAnsi="宋体" w:cs="宋体"/>
          <w:color w:val="000000" w:themeColor="text1"/>
          <w:highlight w:val="none"/>
        </w:rPr>
        <w:t>日14:00—14:30整。</w:t>
      </w:r>
    </w:p>
    <w:p w14:paraId="43A59DE6">
      <w:pPr>
        <w:adjustRightInd w:val="0"/>
        <w:spacing w:line="360" w:lineRule="auto"/>
        <w:ind w:firstLine="420" w:firstLineChars="200"/>
        <w:rPr>
          <w:rFonts w:ascii="宋体" w:hAnsi="宋体" w:cs="宋体"/>
          <w:color w:val="000000" w:themeColor="text1"/>
          <w:highlight w:val="none"/>
        </w:rPr>
      </w:pPr>
      <w:r>
        <w:rPr>
          <w:rFonts w:hint="eastAsia" w:ascii="宋体" w:hAnsi="宋体" w:cs="宋体"/>
          <w:color w:val="000000" w:themeColor="text1"/>
          <w:highlight w:val="none"/>
        </w:rPr>
        <w:t>5.2、投标文件递交截止时间：2024年10月</w:t>
      </w:r>
      <w:r>
        <w:rPr>
          <w:rFonts w:hint="eastAsia" w:ascii="宋体" w:hAnsi="宋体" w:cs="宋体"/>
          <w:color w:val="000000" w:themeColor="text1"/>
          <w:highlight w:val="none"/>
          <w:lang w:val="en-US" w:eastAsia="zh-CN"/>
        </w:rPr>
        <w:t>21</w:t>
      </w:r>
      <w:r>
        <w:rPr>
          <w:rFonts w:hint="eastAsia" w:ascii="宋体" w:hAnsi="宋体" w:cs="宋体"/>
          <w:color w:val="000000" w:themeColor="text1"/>
          <w:highlight w:val="none"/>
        </w:rPr>
        <w:t>日14:30整。</w:t>
      </w:r>
    </w:p>
    <w:p w14:paraId="383CDC09">
      <w:pPr>
        <w:adjustRightIn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5.3、投标文件递交地点：</w:t>
      </w:r>
      <w:r>
        <w:rPr>
          <w:rFonts w:hint="eastAsia" w:ascii="宋体" w:hAnsi="宋体" w:cs="宋体"/>
          <w:color w:val="000000"/>
        </w:rPr>
        <w:t>南通市港航事业发展中心海门分中心</w:t>
      </w:r>
      <w:r>
        <w:rPr>
          <w:rFonts w:hint="eastAsia" w:ascii="宋体" w:hAnsi="宋体" w:cs="宋体"/>
          <w:color w:val="000000" w:themeColor="text1"/>
        </w:rPr>
        <w:t>三楼会议室（江苏省海门市静海路165号），</w:t>
      </w:r>
      <w:r>
        <w:rPr>
          <w:rFonts w:hint="eastAsia" w:ascii="宋体" w:hAnsi="宋体" w:cs="宋体"/>
          <w:b/>
          <w:bCs/>
          <w:color w:val="000000" w:themeColor="text1"/>
        </w:rPr>
        <w:t>如有变动，另行通知。</w:t>
      </w:r>
      <w:r>
        <w:rPr>
          <w:rFonts w:hint="eastAsia" w:ascii="宋体" w:hAnsi="宋体" w:cs="宋体"/>
          <w:color w:val="000000" w:themeColor="text1"/>
        </w:rPr>
        <w:t>逾期送达的或者未送达指定地点的投标文件，招标人不予受理。</w:t>
      </w:r>
    </w:p>
    <w:p w14:paraId="1B9940CB">
      <w:pPr>
        <w:adjustRightIn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5.4、开标时间：同投标文件递交截止时间。</w:t>
      </w:r>
    </w:p>
    <w:p w14:paraId="1E57D245">
      <w:pPr>
        <w:adjustRightIn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5.5、开标地点：同投标文件递交地点。</w:t>
      </w:r>
    </w:p>
    <w:p w14:paraId="2A6C3E5B">
      <w:pPr>
        <w:adjustRightIn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以上时间均为北京时间。</w:t>
      </w:r>
    </w:p>
    <w:p w14:paraId="064C6827">
      <w:pPr>
        <w:adjustRightIn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本项目不统一组织召开现场考察与标前会议，投标人若需进行现场考察，自行前往并自行负责住宿与安全。</w:t>
      </w:r>
      <w:bookmarkEnd w:id="30"/>
      <w:bookmarkEnd w:id="31"/>
      <w:bookmarkEnd w:id="32"/>
      <w:bookmarkEnd w:id="33"/>
      <w:bookmarkEnd w:id="34"/>
      <w:bookmarkEnd w:id="35"/>
      <w:bookmarkEnd w:id="36"/>
      <w:bookmarkEnd w:id="37"/>
      <w:bookmarkEnd w:id="38"/>
      <w:bookmarkEnd w:id="39"/>
      <w:bookmarkEnd w:id="40"/>
      <w:bookmarkEnd w:id="41"/>
      <w:bookmarkStart w:id="42" w:name="_Toc26508"/>
      <w:bookmarkStart w:id="43" w:name="_Toc30157"/>
      <w:bookmarkStart w:id="44" w:name="_Toc508615689"/>
    </w:p>
    <w:bookmarkEnd w:id="42"/>
    <w:bookmarkEnd w:id="43"/>
    <w:bookmarkEnd w:id="44"/>
    <w:p w14:paraId="1FBDA415">
      <w:pPr>
        <w:pStyle w:val="18"/>
        <w:topLinePunct/>
        <w:spacing w:line="360" w:lineRule="auto"/>
        <w:ind w:firstLine="482" w:firstLineChars="200"/>
        <w:rPr>
          <w:rFonts w:hAnsi="宋体"/>
          <w:b/>
          <w:bCs/>
          <w:color w:val="000000" w:themeColor="text1"/>
        </w:rPr>
      </w:pPr>
      <w:r>
        <w:rPr>
          <w:rFonts w:hint="eastAsia" w:hAnsi="宋体"/>
          <w:b/>
          <w:bCs/>
          <w:color w:val="000000" w:themeColor="text1"/>
        </w:rPr>
        <w:t>6．发布公告的媒介</w:t>
      </w:r>
    </w:p>
    <w:p w14:paraId="59181983">
      <w:pPr>
        <w:pStyle w:val="18"/>
        <w:topLinePunct/>
        <w:spacing w:line="360" w:lineRule="auto"/>
        <w:ind w:firstLine="420" w:firstLineChars="200"/>
        <w:jc w:val="left"/>
        <w:rPr>
          <w:rFonts w:hAnsi="宋体"/>
          <w:b/>
          <w:bCs/>
          <w:color w:val="000000" w:themeColor="text1"/>
          <w:sz w:val="21"/>
          <w:szCs w:val="21"/>
        </w:rPr>
      </w:pPr>
      <w:r>
        <w:rPr>
          <w:rFonts w:hint="eastAsia" w:hAnsi="宋体"/>
          <w:color w:val="000000" w:themeColor="text1"/>
          <w:sz w:val="21"/>
          <w:szCs w:val="21"/>
        </w:rPr>
        <w:t>本次招标公告同时在南通市交通运输局网站（http://jtysj.nantong.gov.cn/）上。南通市交通运输局网站是本项目招标公告、招标文件澄清、中标公示等招标信息约定的唯一公开发布媒介。</w:t>
      </w:r>
    </w:p>
    <w:p w14:paraId="4702E166">
      <w:pPr>
        <w:pStyle w:val="18"/>
        <w:topLinePunct/>
        <w:spacing w:line="360" w:lineRule="auto"/>
        <w:ind w:firstLine="482" w:firstLineChars="200"/>
        <w:rPr>
          <w:rFonts w:hAnsi="宋体"/>
          <w:b/>
          <w:bCs/>
          <w:color w:val="000000" w:themeColor="text1"/>
        </w:rPr>
      </w:pPr>
      <w:bookmarkStart w:id="45" w:name="_Toc90104559"/>
      <w:bookmarkStart w:id="46" w:name="_Toc90105077"/>
      <w:bookmarkStart w:id="47" w:name="_Toc90105454"/>
      <w:bookmarkStart w:id="48" w:name="_Toc90105266"/>
      <w:bookmarkStart w:id="49" w:name="_Toc90106008"/>
      <w:bookmarkStart w:id="50" w:name="_Toc90105827"/>
      <w:bookmarkStart w:id="51" w:name="_Toc90105641"/>
      <w:bookmarkStart w:id="52" w:name="_Toc89848287"/>
      <w:bookmarkStart w:id="53" w:name="_Toc92015769"/>
      <w:bookmarkStart w:id="54" w:name="_Toc90106827"/>
      <w:bookmarkStart w:id="55" w:name="_Toc90106189"/>
      <w:bookmarkStart w:id="56" w:name="_Toc90106646"/>
      <w:r>
        <w:rPr>
          <w:rFonts w:hint="eastAsia" w:hAnsi="宋体"/>
          <w:b/>
          <w:bCs/>
          <w:color w:val="000000" w:themeColor="text1"/>
        </w:rPr>
        <w:t>7. 其他</w:t>
      </w:r>
    </w:p>
    <w:p w14:paraId="75F12F63">
      <w:pPr>
        <w:spacing w:line="360" w:lineRule="auto"/>
        <w:ind w:firstLine="420" w:firstLineChars="200"/>
        <w:rPr>
          <w:rFonts w:ascii="宋体" w:hAnsi="宋体" w:cs="宋体"/>
          <w:color w:val="000000" w:themeColor="text1"/>
        </w:rPr>
      </w:pPr>
      <w:r>
        <w:rPr>
          <w:rFonts w:hint="eastAsia" w:ascii="宋体" w:hAnsi="宋体" w:cs="宋体"/>
          <w:color w:val="000000" w:themeColor="text1"/>
        </w:rPr>
        <w:t>7.1已购买招标文件的投标单位，不得擅自放弃投标，若因故确需放弃，则须在截止之日3日前书面告知招标人，如无故不参加投标而造成投标单位不足3家而重新招标的，若重新招标的招标需求、资格要求等未发生改变，招标人可以拒绝其参加重新招标的投标。</w:t>
      </w:r>
    </w:p>
    <w:p w14:paraId="31FF84F9">
      <w:pPr>
        <w:spacing w:line="360" w:lineRule="auto"/>
        <w:ind w:firstLine="420" w:firstLineChars="200"/>
        <w:rPr>
          <w:rFonts w:ascii="宋体" w:hAnsi="宋体" w:cs="宋体"/>
          <w:color w:val="000000" w:themeColor="text1"/>
        </w:rPr>
      </w:pPr>
      <w:r>
        <w:rPr>
          <w:rFonts w:hint="eastAsia" w:ascii="宋体" w:hAnsi="宋体" w:cs="宋体"/>
          <w:color w:val="000000" w:themeColor="text1"/>
        </w:rPr>
        <w:t>7.2本项目无图纸，各投标人必须仔细踏勘现场，并根据现场情况进行报价，踏勘现场所发生的费用由投标人自行承担。投标人在投标文件中必须提供现场踏勘确认函。</w:t>
      </w:r>
    </w:p>
    <w:p w14:paraId="45BF043F">
      <w:pPr>
        <w:spacing w:line="360" w:lineRule="auto"/>
        <w:ind w:firstLine="482" w:firstLineChars="200"/>
        <w:rPr>
          <w:rFonts w:ascii="宋体" w:hAnsi="宋体" w:cs="宋体"/>
          <w:b/>
          <w:bCs/>
          <w:color w:val="000000" w:themeColor="text1"/>
          <w:sz w:val="24"/>
          <w:szCs w:val="24"/>
        </w:rPr>
      </w:pPr>
      <w:r>
        <w:rPr>
          <w:rFonts w:hint="eastAsia" w:ascii="宋体" w:hAnsi="宋体" w:cs="宋体"/>
          <w:b/>
          <w:bCs/>
          <w:color w:val="000000" w:themeColor="text1"/>
          <w:sz w:val="24"/>
          <w:szCs w:val="24"/>
        </w:rPr>
        <w:t>8．联系方式</w:t>
      </w:r>
      <w:bookmarkEnd w:id="45"/>
      <w:bookmarkEnd w:id="46"/>
      <w:bookmarkEnd w:id="47"/>
      <w:bookmarkEnd w:id="48"/>
      <w:bookmarkEnd w:id="49"/>
      <w:bookmarkEnd w:id="50"/>
      <w:bookmarkEnd w:id="51"/>
      <w:bookmarkEnd w:id="52"/>
      <w:bookmarkEnd w:id="53"/>
      <w:bookmarkEnd w:id="54"/>
      <w:bookmarkEnd w:id="55"/>
      <w:bookmarkEnd w:id="56"/>
    </w:p>
    <w:p w14:paraId="4D5FE95B">
      <w:pPr>
        <w:widowControl/>
        <w:spacing w:line="360" w:lineRule="auto"/>
        <w:ind w:firstLine="420" w:firstLineChars="200"/>
        <w:jc w:val="left"/>
        <w:rPr>
          <w:rFonts w:ascii="宋体" w:hAnsi="宋体" w:cs="宋体"/>
          <w:kern w:val="0"/>
        </w:rPr>
      </w:pPr>
      <w:r>
        <w:rPr>
          <w:rFonts w:hint="eastAsia" w:ascii="宋体" w:hAnsi="宋体" w:cs="宋体"/>
          <w:kern w:val="0"/>
        </w:rPr>
        <w:t>招标人：南通市港航事业发展中心</w:t>
      </w:r>
    </w:p>
    <w:p w14:paraId="2B0F632F">
      <w:pPr>
        <w:widowControl/>
        <w:spacing w:line="360" w:lineRule="auto"/>
        <w:ind w:firstLine="420" w:firstLineChars="200"/>
        <w:jc w:val="left"/>
        <w:rPr>
          <w:rFonts w:ascii="宋体" w:hAnsi="宋体" w:cs="宋体"/>
          <w:kern w:val="0"/>
        </w:rPr>
      </w:pPr>
      <w:r>
        <w:rPr>
          <w:rFonts w:hint="eastAsia" w:ascii="宋体" w:hAnsi="宋体" w:cs="宋体"/>
          <w:kern w:val="0"/>
        </w:rPr>
        <w:t xml:space="preserve">地  址：海门区静海路165号 </w:t>
      </w:r>
    </w:p>
    <w:p w14:paraId="296742A1">
      <w:pPr>
        <w:widowControl/>
        <w:tabs>
          <w:tab w:val="left" w:pos="2387"/>
        </w:tabs>
        <w:spacing w:line="360" w:lineRule="auto"/>
        <w:ind w:firstLine="420" w:firstLineChars="200"/>
        <w:jc w:val="left"/>
        <w:rPr>
          <w:rFonts w:ascii="宋体" w:hAnsi="宋体" w:cs="宋体"/>
          <w:kern w:val="0"/>
        </w:rPr>
      </w:pPr>
      <w:r>
        <w:rPr>
          <w:rFonts w:hint="eastAsia" w:ascii="宋体" w:hAnsi="宋体" w:cs="宋体"/>
          <w:kern w:val="0"/>
        </w:rPr>
        <w:t>联 系 人：王峰</w:t>
      </w:r>
      <w:r>
        <w:rPr>
          <w:rFonts w:ascii="宋体" w:hAnsi="宋体" w:cs="宋体"/>
          <w:kern w:val="0"/>
        </w:rPr>
        <w:tab/>
      </w:r>
    </w:p>
    <w:p w14:paraId="1CDB0F42">
      <w:pPr>
        <w:pStyle w:val="44"/>
        <w:spacing w:before="0" w:beforeAutospacing="0" w:after="0" w:afterAutospacing="0" w:line="360" w:lineRule="auto"/>
        <w:ind w:firstLine="420" w:firstLineChars="200"/>
        <w:rPr>
          <w:sz w:val="21"/>
          <w:szCs w:val="21"/>
        </w:rPr>
      </w:pPr>
      <w:r>
        <w:rPr>
          <w:rFonts w:hint="eastAsia" w:ascii="Times New Roman" w:hAnsi="Times New Roman"/>
          <w:kern w:val="2"/>
          <w:sz w:val="21"/>
          <w:szCs w:val="21"/>
        </w:rPr>
        <w:t>电   话：</w:t>
      </w:r>
      <w:r>
        <w:rPr>
          <w:rFonts w:ascii="Times New Roman" w:hAnsi="Times New Roman"/>
          <w:kern w:val="2"/>
          <w:sz w:val="21"/>
          <w:szCs w:val="21"/>
        </w:rPr>
        <w:t>0513-82212783</w:t>
      </w:r>
    </w:p>
    <w:p w14:paraId="556DDA70">
      <w:pPr>
        <w:spacing w:line="360" w:lineRule="auto"/>
        <w:ind w:firstLine="420" w:firstLineChars="200"/>
        <w:jc w:val="left"/>
        <w:rPr>
          <w:rFonts w:ascii="宋体" w:hAnsi="宋体" w:cs="宋体"/>
        </w:rPr>
      </w:pPr>
    </w:p>
    <w:p w14:paraId="0F851FEB">
      <w:pPr>
        <w:adjustRightInd w:val="0"/>
        <w:snapToGrid w:val="0"/>
        <w:spacing w:line="360" w:lineRule="auto"/>
        <w:ind w:firstLine="436" w:firstLineChars="200"/>
        <w:jc w:val="right"/>
        <w:rPr>
          <w:rFonts w:ascii="宋体" w:hAnsi="宋体" w:cs="宋体"/>
          <w:color w:val="000000" w:themeColor="text1"/>
          <w:kern w:val="0"/>
          <w:sz w:val="24"/>
          <w:szCs w:val="24"/>
          <w:u w:val="single"/>
        </w:rPr>
      </w:pPr>
      <w:r>
        <w:rPr>
          <w:rFonts w:hint="eastAsia" w:ascii="宋体" w:hAnsi="宋体" w:cs="宋体"/>
          <w:spacing w:val="4"/>
        </w:rPr>
        <w:t>2024年</w:t>
      </w:r>
      <w:r>
        <w:rPr>
          <w:rFonts w:hint="eastAsia" w:ascii="宋体" w:hAnsi="宋体" w:cs="宋体"/>
          <w:spacing w:val="4"/>
          <w:lang w:val="en-US" w:eastAsia="zh-CN"/>
        </w:rPr>
        <w:t>10</w:t>
      </w:r>
      <w:r>
        <w:rPr>
          <w:rFonts w:hint="eastAsia" w:ascii="宋体" w:hAnsi="宋体" w:cs="宋体"/>
          <w:spacing w:val="4"/>
        </w:rPr>
        <w:t>月</w:t>
      </w:r>
      <w:r>
        <w:rPr>
          <w:rFonts w:hint="eastAsia" w:ascii="宋体" w:hAnsi="宋体" w:cs="宋体"/>
          <w:spacing w:val="4"/>
          <w:lang w:val="en-US" w:eastAsia="zh-CN"/>
        </w:rPr>
        <w:t>9</w:t>
      </w:r>
      <w:r>
        <w:rPr>
          <w:rFonts w:hint="eastAsia" w:ascii="宋体" w:hAnsi="宋体" w:cs="宋体"/>
          <w:spacing w:val="4"/>
        </w:rPr>
        <w:t>日</w:t>
      </w:r>
    </w:p>
    <w:p w14:paraId="59EAA3A7">
      <w:pPr>
        <w:pStyle w:val="2"/>
        <w:spacing w:before="120" w:beforeLines="50" w:after="120" w:afterLines="50" w:line="240" w:lineRule="auto"/>
        <w:jc w:val="center"/>
        <w:rPr>
          <w:rFonts w:cs="黑体"/>
          <w:b w:val="0"/>
          <w:bCs w:val="0"/>
          <w:color w:val="000000" w:themeColor="text1"/>
        </w:rPr>
        <w:sectPr>
          <w:footerReference r:id="rId3" w:type="default"/>
          <w:pgSz w:w="11920" w:h="16840"/>
          <w:pgMar w:top="1140" w:right="1247" w:bottom="1060" w:left="1247" w:header="884" w:footer="838" w:gutter="0"/>
          <w:pgNumType w:start="1"/>
          <w:cols w:space="720" w:num="1"/>
        </w:sectPr>
      </w:pPr>
      <w:bookmarkStart w:id="57" w:name="_Toc238559183"/>
      <w:bookmarkStart w:id="58" w:name="_Toc25662"/>
      <w:bookmarkStart w:id="59" w:name="_Toc19318"/>
      <w:bookmarkStart w:id="60" w:name="_Toc234675074"/>
      <w:bookmarkStart w:id="61" w:name="_Toc460366495"/>
      <w:bookmarkStart w:id="62" w:name="_Toc12183"/>
      <w:bookmarkStart w:id="63" w:name="_Toc144974495"/>
      <w:bookmarkStart w:id="64" w:name="_Toc508615691"/>
      <w:bookmarkStart w:id="65" w:name="_Toc9226"/>
      <w:bookmarkStart w:id="66" w:name="_Toc179632544"/>
      <w:bookmarkStart w:id="67" w:name="_Toc152042303"/>
      <w:bookmarkStart w:id="68" w:name="_Toc152045527"/>
      <w:bookmarkStart w:id="69" w:name="_Toc234744442"/>
    </w:p>
    <w:p w14:paraId="473E4780">
      <w:pPr>
        <w:pStyle w:val="2"/>
        <w:spacing w:before="120" w:beforeLines="50" w:after="120" w:afterLines="50" w:line="240" w:lineRule="auto"/>
        <w:jc w:val="center"/>
        <w:rPr>
          <w:rFonts w:cs="宋体"/>
          <w:color w:val="000000" w:themeColor="text1"/>
          <w:sz w:val="24"/>
          <w:szCs w:val="24"/>
        </w:rPr>
      </w:pPr>
      <w:r>
        <w:rPr>
          <w:rFonts w:hint="eastAsia" w:cs="黑体"/>
          <w:b w:val="0"/>
          <w:bCs w:val="0"/>
          <w:color w:val="000000" w:themeColor="text1"/>
        </w:rPr>
        <w:t>第二章投标人须知</w:t>
      </w:r>
      <w:bookmarkEnd w:id="57"/>
      <w:bookmarkEnd w:id="58"/>
      <w:bookmarkEnd w:id="59"/>
      <w:bookmarkEnd w:id="60"/>
      <w:bookmarkEnd w:id="61"/>
      <w:bookmarkEnd w:id="62"/>
      <w:bookmarkEnd w:id="63"/>
      <w:bookmarkEnd w:id="64"/>
      <w:bookmarkEnd w:id="65"/>
      <w:bookmarkEnd w:id="66"/>
      <w:bookmarkEnd w:id="67"/>
      <w:bookmarkEnd w:id="68"/>
      <w:bookmarkEnd w:id="69"/>
      <w:bookmarkStart w:id="70" w:name="_Toc234744443"/>
      <w:bookmarkStart w:id="71" w:name="_Toc152042304"/>
      <w:bookmarkStart w:id="72" w:name="_Toc234675075"/>
      <w:bookmarkStart w:id="73" w:name="_Toc179632545"/>
      <w:bookmarkStart w:id="74" w:name="_Toc152045528"/>
      <w:bookmarkStart w:id="75" w:name="_Toc460366496"/>
      <w:bookmarkStart w:id="76" w:name="_Toc12135"/>
      <w:bookmarkStart w:id="77" w:name="_Toc238559184"/>
      <w:bookmarkStart w:id="78" w:name="_Toc144974496"/>
    </w:p>
    <w:p w14:paraId="6777CDE3">
      <w:pPr>
        <w:adjustRightInd w:val="0"/>
        <w:snapToGrid w:val="0"/>
        <w:spacing w:line="360" w:lineRule="auto"/>
        <w:ind w:left="228" w:right="-20"/>
        <w:rPr>
          <w:rFonts w:cs="宋体"/>
          <w:color w:val="000000" w:themeColor="text1"/>
          <w:sz w:val="24"/>
          <w:szCs w:val="24"/>
        </w:rPr>
      </w:pPr>
    </w:p>
    <w:tbl>
      <w:tblPr>
        <w:tblStyle w:val="49"/>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22"/>
        <w:gridCol w:w="1688"/>
        <w:gridCol w:w="5689"/>
      </w:tblGrid>
      <w:tr w14:paraId="2DE89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01" w:type="pct"/>
            <w:vAlign w:val="center"/>
          </w:tcPr>
          <w:p w14:paraId="6335054A">
            <w:pPr>
              <w:widowControl/>
              <w:adjustRightInd w:val="0"/>
              <w:snapToGrid w:val="0"/>
              <w:jc w:val="center"/>
              <w:rPr>
                <w:rFonts w:cs="宋体"/>
                <w:color w:val="000000" w:themeColor="text1"/>
              </w:rPr>
            </w:pPr>
            <w:r>
              <w:rPr>
                <w:rFonts w:hint="eastAsia" w:cs="宋体"/>
                <w:color w:val="000000" w:themeColor="text1"/>
                <w:kern w:val="0"/>
              </w:rPr>
              <w:t>条款号</w:t>
            </w:r>
          </w:p>
        </w:tc>
        <w:tc>
          <w:tcPr>
            <w:tcW w:w="937" w:type="pct"/>
            <w:vAlign w:val="center"/>
          </w:tcPr>
          <w:p w14:paraId="197932F5">
            <w:pPr>
              <w:widowControl/>
              <w:adjustRightInd w:val="0"/>
              <w:snapToGrid w:val="0"/>
              <w:jc w:val="center"/>
              <w:rPr>
                <w:rFonts w:cs="宋体"/>
                <w:color w:val="000000" w:themeColor="text1"/>
              </w:rPr>
            </w:pPr>
            <w:r>
              <w:rPr>
                <w:rFonts w:hint="eastAsia" w:cs="宋体"/>
                <w:color w:val="000000" w:themeColor="text1"/>
                <w:kern w:val="0"/>
              </w:rPr>
              <w:t>条款名称</w:t>
            </w:r>
          </w:p>
        </w:tc>
        <w:tc>
          <w:tcPr>
            <w:tcW w:w="3160" w:type="pct"/>
            <w:vAlign w:val="center"/>
          </w:tcPr>
          <w:p w14:paraId="3844BEEA">
            <w:pPr>
              <w:widowControl/>
              <w:adjustRightInd w:val="0"/>
              <w:snapToGrid w:val="0"/>
              <w:jc w:val="center"/>
              <w:rPr>
                <w:rFonts w:cs="宋体"/>
                <w:color w:val="000000" w:themeColor="text1"/>
              </w:rPr>
            </w:pPr>
            <w:r>
              <w:rPr>
                <w:rFonts w:hint="eastAsia" w:cs="宋体"/>
                <w:color w:val="000000" w:themeColor="text1"/>
                <w:kern w:val="0"/>
              </w:rPr>
              <w:t>编列内容</w:t>
            </w:r>
          </w:p>
        </w:tc>
      </w:tr>
      <w:tr w14:paraId="5C0F3E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29B267BA">
            <w:pPr>
              <w:widowControl/>
              <w:adjustRightInd w:val="0"/>
              <w:snapToGrid w:val="0"/>
              <w:jc w:val="center"/>
              <w:rPr>
                <w:rFonts w:cs="宋体"/>
                <w:color w:val="000000" w:themeColor="text1"/>
              </w:rPr>
            </w:pPr>
            <w:r>
              <w:rPr>
                <w:rFonts w:hint="eastAsia" w:cs="宋体"/>
                <w:color w:val="000000" w:themeColor="text1"/>
                <w:kern w:val="0"/>
              </w:rPr>
              <w:t>1.1.2</w:t>
            </w:r>
          </w:p>
        </w:tc>
        <w:tc>
          <w:tcPr>
            <w:tcW w:w="937" w:type="pct"/>
            <w:vAlign w:val="center"/>
          </w:tcPr>
          <w:p w14:paraId="1FB306E2">
            <w:pPr>
              <w:widowControl/>
              <w:adjustRightInd w:val="0"/>
              <w:snapToGrid w:val="0"/>
              <w:jc w:val="center"/>
              <w:rPr>
                <w:rFonts w:cs="宋体"/>
                <w:color w:val="000000" w:themeColor="text1"/>
              </w:rPr>
            </w:pPr>
            <w:r>
              <w:rPr>
                <w:rFonts w:hint="eastAsia" w:cs="宋体"/>
                <w:color w:val="000000" w:themeColor="text1"/>
                <w:kern w:val="0"/>
              </w:rPr>
              <w:t>招标人</w:t>
            </w:r>
          </w:p>
        </w:tc>
        <w:tc>
          <w:tcPr>
            <w:tcW w:w="3160" w:type="pct"/>
            <w:vAlign w:val="center"/>
          </w:tcPr>
          <w:p w14:paraId="7C1B516C">
            <w:pPr>
              <w:rPr>
                <w:rFonts w:ascii="宋体" w:hAnsi="宋体" w:cs="宋体"/>
                <w:color w:val="000000" w:themeColor="text1"/>
              </w:rPr>
            </w:pPr>
            <w:r>
              <w:rPr>
                <w:rFonts w:hint="eastAsia" w:ascii="宋体" w:hAnsi="宋体" w:cs="宋体"/>
                <w:color w:val="000000" w:themeColor="text1"/>
              </w:rPr>
              <w:t>招标人：南通市港航事业发展中心</w:t>
            </w:r>
          </w:p>
          <w:p w14:paraId="538E99A2">
            <w:pPr>
              <w:rPr>
                <w:rFonts w:ascii="宋体" w:hAnsi="宋体" w:cs="宋体"/>
                <w:color w:val="000000" w:themeColor="text1"/>
              </w:rPr>
            </w:pPr>
            <w:r>
              <w:rPr>
                <w:rFonts w:hint="eastAsia" w:ascii="宋体" w:hAnsi="宋体" w:cs="宋体"/>
                <w:color w:val="000000" w:themeColor="text1"/>
              </w:rPr>
              <w:t xml:space="preserve">地  址：海门区静海路165号 </w:t>
            </w:r>
          </w:p>
          <w:p w14:paraId="54ED3708">
            <w:pPr>
              <w:rPr>
                <w:rFonts w:ascii="宋体" w:hAnsi="宋体" w:cs="宋体"/>
                <w:color w:val="000000" w:themeColor="text1"/>
              </w:rPr>
            </w:pPr>
            <w:r>
              <w:rPr>
                <w:rFonts w:hint="eastAsia" w:ascii="宋体" w:hAnsi="宋体" w:cs="宋体"/>
                <w:color w:val="000000" w:themeColor="text1"/>
              </w:rPr>
              <w:t>联 系 人：王峰</w:t>
            </w:r>
            <w:r>
              <w:rPr>
                <w:rFonts w:ascii="宋体" w:hAnsi="宋体" w:cs="宋体"/>
                <w:color w:val="000000" w:themeColor="text1"/>
              </w:rPr>
              <w:tab/>
            </w:r>
          </w:p>
          <w:p w14:paraId="67409CFA">
            <w:pPr>
              <w:rPr>
                <w:rFonts w:ascii="宋体" w:hAnsi="宋体" w:cs="宋体"/>
                <w:color w:val="000000" w:themeColor="text1"/>
              </w:rPr>
            </w:pPr>
            <w:r>
              <w:rPr>
                <w:rFonts w:hint="eastAsia" w:ascii="宋体" w:hAnsi="宋体" w:cs="宋体"/>
                <w:color w:val="000000" w:themeColor="text1"/>
              </w:rPr>
              <w:t>电   话：</w:t>
            </w:r>
            <w:r>
              <w:rPr>
                <w:rFonts w:ascii="宋体" w:hAnsi="宋体" w:cs="宋体"/>
                <w:color w:val="000000" w:themeColor="text1"/>
              </w:rPr>
              <w:t>0513-82212783</w:t>
            </w:r>
          </w:p>
        </w:tc>
      </w:tr>
      <w:tr w14:paraId="30C7B2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4E0B5EE0">
            <w:pPr>
              <w:widowControl/>
              <w:adjustRightInd w:val="0"/>
              <w:snapToGrid w:val="0"/>
              <w:jc w:val="center"/>
              <w:rPr>
                <w:rFonts w:cs="宋体"/>
                <w:color w:val="000000" w:themeColor="text1"/>
              </w:rPr>
            </w:pPr>
            <w:r>
              <w:rPr>
                <w:rFonts w:hint="eastAsia" w:cs="宋体"/>
                <w:color w:val="000000" w:themeColor="text1"/>
                <w:kern w:val="0"/>
              </w:rPr>
              <w:t>1.1.3</w:t>
            </w:r>
          </w:p>
        </w:tc>
        <w:tc>
          <w:tcPr>
            <w:tcW w:w="937" w:type="pct"/>
            <w:vAlign w:val="center"/>
          </w:tcPr>
          <w:p w14:paraId="615CF8B8">
            <w:pPr>
              <w:widowControl/>
              <w:adjustRightInd w:val="0"/>
              <w:snapToGrid w:val="0"/>
              <w:jc w:val="center"/>
              <w:rPr>
                <w:rFonts w:cs="宋体"/>
                <w:color w:val="000000" w:themeColor="text1"/>
              </w:rPr>
            </w:pPr>
            <w:r>
              <w:rPr>
                <w:rFonts w:hint="eastAsia" w:cs="宋体"/>
                <w:color w:val="000000" w:themeColor="text1"/>
                <w:kern w:val="0"/>
              </w:rPr>
              <w:t>招标代理机构</w:t>
            </w:r>
          </w:p>
        </w:tc>
        <w:tc>
          <w:tcPr>
            <w:tcW w:w="3160" w:type="pct"/>
            <w:vAlign w:val="center"/>
          </w:tcPr>
          <w:p w14:paraId="51A6C4C3">
            <w:pPr>
              <w:rPr>
                <w:rFonts w:cs="宋体"/>
                <w:color w:val="000000" w:themeColor="text1"/>
                <w:spacing w:val="4"/>
              </w:rPr>
            </w:pPr>
            <w:r>
              <w:rPr>
                <w:rFonts w:hint="eastAsia" w:ascii="宋体" w:hAnsi="宋体" w:cs="宋体"/>
                <w:color w:val="000000" w:themeColor="text1"/>
              </w:rPr>
              <w:t>/</w:t>
            </w:r>
          </w:p>
        </w:tc>
      </w:tr>
      <w:tr w14:paraId="498D69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410535CB">
            <w:pPr>
              <w:widowControl/>
              <w:adjustRightInd w:val="0"/>
              <w:snapToGrid w:val="0"/>
              <w:jc w:val="center"/>
              <w:rPr>
                <w:rFonts w:cs="宋体"/>
                <w:color w:val="000000" w:themeColor="text1"/>
              </w:rPr>
            </w:pPr>
            <w:r>
              <w:rPr>
                <w:rFonts w:hint="eastAsia" w:cs="宋体"/>
                <w:color w:val="000000" w:themeColor="text1"/>
                <w:kern w:val="0"/>
              </w:rPr>
              <w:t>1.1.4</w:t>
            </w:r>
          </w:p>
        </w:tc>
        <w:tc>
          <w:tcPr>
            <w:tcW w:w="937" w:type="pct"/>
            <w:vAlign w:val="center"/>
          </w:tcPr>
          <w:p w14:paraId="50E54D3E">
            <w:pPr>
              <w:widowControl/>
              <w:adjustRightInd w:val="0"/>
              <w:snapToGrid w:val="0"/>
              <w:jc w:val="center"/>
              <w:rPr>
                <w:rFonts w:cs="宋体"/>
                <w:color w:val="000000" w:themeColor="text1"/>
              </w:rPr>
            </w:pPr>
            <w:r>
              <w:rPr>
                <w:rFonts w:hint="eastAsia" w:cs="宋体"/>
                <w:color w:val="000000" w:themeColor="text1"/>
                <w:kern w:val="0"/>
              </w:rPr>
              <w:t>招标项目名称</w:t>
            </w:r>
          </w:p>
        </w:tc>
        <w:tc>
          <w:tcPr>
            <w:tcW w:w="3160" w:type="pct"/>
            <w:vAlign w:val="center"/>
          </w:tcPr>
          <w:p w14:paraId="52212F4F">
            <w:pPr>
              <w:widowControl/>
              <w:adjustRightInd w:val="0"/>
              <w:snapToGrid w:val="0"/>
              <w:rPr>
                <w:rFonts w:cs="宋体"/>
                <w:color w:val="000000" w:themeColor="text1"/>
              </w:rPr>
            </w:pPr>
            <w:r>
              <w:rPr>
                <w:rFonts w:hint="eastAsia" w:cs="宋体"/>
                <w:color w:val="000000" w:themeColor="text1"/>
              </w:rPr>
              <w:t>南通市港航事业发展中心海门分中心房屋修缮工程</w:t>
            </w:r>
          </w:p>
        </w:tc>
      </w:tr>
      <w:tr w14:paraId="3E302C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526AF7CC">
            <w:pPr>
              <w:widowControl/>
              <w:adjustRightInd w:val="0"/>
              <w:snapToGrid w:val="0"/>
              <w:jc w:val="center"/>
              <w:rPr>
                <w:rFonts w:cs="宋体"/>
                <w:color w:val="000000" w:themeColor="text1"/>
              </w:rPr>
            </w:pPr>
            <w:r>
              <w:rPr>
                <w:rFonts w:hint="eastAsia" w:cs="宋体"/>
                <w:color w:val="000000" w:themeColor="text1"/>
                <w:kern w:val="0"/>
              </w:rPr>
              <w:t>1.1.5</w:t>
            </w:r>
          </w:p>
        </w:tc>
        <w:tc>
          <w:tcPr>
            <w:tcW w:w="937" w:type="pct"/>
            <w:vAlign w:val="center"/>
          </w:tcPr>
          <w:p w14:paraId="06830E7B">
            <w:pPr>
              <w:widowControl/>
              <w:adjustRightInd w:val="0"/>
              <w:snapToGrid w:val="0"/>
              <w:jc w:val="center"/>
              <w:rPr>
                <w:rFonts w:cs="宋体"/>
                <w:color w:val="000000" w:themeColor="text1"/>
              </w:rPr>
            </w:pPr>
            <w:r>
              <w:rPr>
                <w:rFonts w:hint="eastAsia" w:cs="宋体"/>
                <w:color w:val="000000" w:themeColor="text1"/>
                <w:kern w:val="0"/>
              </w:rPr>
              <w:t>标段建设地点</w:t>
            </w:r>
          </w:p>
        </w:tc>
        <w:tc>
          <w:tcPr>
            <w:tcW w:w="3160" w:type="pct"/>
            <w:vAlign w:val="center"/>
          </w:tcPr>
          <w:p w14:paraId="1893E90D">
            <w:pPr>
              <w:widowControl/>
              <w:adjustRightInd w:val="0"/>
              <w:snapToGrid w:val="0"/>
              <w:rPr>
                <w:rFonts w:cs="宋体"/>
                <w:color w:val="000000" w:themeColor="text1"/>
              </w:rPr>
            </w:pPr>
            <w:r>
              <w:rPr>
                <w:rFonts w:hint="eastAsia" w:cs="宋体"/>
                <w:color w:val="000000" w:themeColor="text1"/>
              </w:rPr>
              <w:t>南通市港航事业发展中心海门分中心</w:t>
            </w:r>
          </w:p>
        </w:tc>
      </w:tr>
      <w:tr w14:paraId="6282DC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6CB817FA">
            <w:pPr>
              <w:widowControl/>
              <w:adjustRightInd w:val="0"/>
              <w:snapToGrid w:val="0"/>
              <w:jc w:val="center"/>
              <w:rPr>
                <w:rFonts w:cs="宋体"/>
                <w:color w:val="000000" w:themeColor="text1"/>
              </w:rPr>
            </w:pPr>
            <w:r>
              <w:rPr>
                <w:rFonts w:hint="eastAsia" w:cs="宋体"/>
                <w:color w:val="000000" w:themeColor="text1"/>
                <w:kern w:val="0"/>
              </w:rPr>
              <w:t>1.2.1</w:t>
            </w:r>
          </w:p>
        </w:tc>
        <w:tc>
          <w:tcPr>
            <w:tcW w:w="937" w:type="pct"/>
            <w:vAlign w:val="center"/>
          </w:tcPr>
          <w:p w14:paraId="614BFD99">
            <w:pPr>
              <w:widowControl/>
              <w:adjustRightInd w:val="0"/>
              <w:snapToGrid w:val="0"/>
              <w:jc w:val="center"/>
              <w:rPr>
                <w:rFonts w:cs="宋体"/>
                <w:color w:val="000000" w:themeColor="text1"/>
              </w:rPr>
            </w:pPr>
            <w:r>
              <w:rPr>
                <w:rFonts w:hint="eastAsia" w:cs="宋体"/>
                <w:color w:val="000000" w:themeColor="text1"/>
                <w:kern w:val="0"/>
              </w:rPr>
              <w:t>资金来源及比例</w:t>
            </w:r>
          </w:p>
        </w:tc>
        <w:tc>
          <w:tcPr>
            <w:tcW w:w="3160" w:type="pct"/>
            <w:vAlign w:val="center"/>
          </w:tcPr>
          <w:p w14:paraId="2AEABA0B">
            <w:pPr>
              <w:widowControl/>
              <w:adjustRightInd w:val="0"/>
              <w:snapToGrid w:val="0"/>
              <w:rPr>
                <w:rFonts w:cs="宋体"/>
                <w:color w:val="000000" w:themeColor="text1"/>
              </w:rPr>
            </w:pPr>
            <w:r>
              <w:rPr>
                <w:rFonts w:hint="eastAsia" w:ascii="宋体" w:hAnsi="宋体" w:cs="宋体"/>
                <w:color w:val="000000" w:themeColor="text1"/>
              </w:rPr>
              <w:t>100%</w:t>
            </w:r>
          </w:p>
        </w:tc>
      </w:tr>
      <w:tr w14:paraId="5837E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5549812E">
            <w:pPr>
              <w:widowControl/>
              <w:adjustRightInd w:val="0"/>
              <w:snapToGrid w:val="0"/>
              <w:jc w:val="center"/>
              <w:rPr>
                <w:rFonts w:cs="宋体"/>
                <w:color w:val="000000" w:themeColor="text1"/>
              </w:rPr>
            </w:pPr>
            <w:r>
              <w:rPr>
                <w:rFonts w:hint="eastAsia" w:cs="宋体"/>
                <w:color w:val="000000" w:themeColor="text1"/>
                <w:kern w:val="0"/>
              </w:rPr>
              <w:t>1.2.2</w:t>
            </w:r>
          </w:p>
        </w:tc>
        <w:tc>
          <w:tcPr>
            <w:tcW w:w="937" w:type="pct"/>
            <w:vAlign w:val="center"/>
          </w:tcPr>
          <w:p w14:paraId="7D7E0B78">
            <w:pPr>
              <w:widowControl/>
              <w:adjustRightInd w:val="0"/>
              <w:snapToGrid w:val="0"/>
              <w:jc w:val="center"/>
              <w:rPr>
                <w:rFonts w:cs="宋体"/>
                <w:color w:val="000000" w:themeColor="text1"/>
              </w:rPr>
            </w:pPr>
            <w:r>
              <w:rPr>
                <w:rFonts w:hint="eastAsia" w:cs="宋体"/>
                <w:color w:val="000000" w:themeColor="text1"/>
                <w:kern w:val="0"/>
              </w:rPr>
              <w:t>资金落实情况</w:t>
            </w:r>
          </w:p>
        </w:tc>
        <w:tc>
          <w:tcPr>
            <w:tcW w:w="3160" w:type="pct"/>
            <w:vAlign w:val="center"/>
          </w:tcPr>
          <w:p w14:paraId="49622AA6">
            <w:pPr>
              <w:widowControl/>
              <w:adjustRightInd w:val="0"/>
              <w:snapToGrid w:val="0"/>
              <w:rPr>
                <w:rFonts w:cs="宋体"/>
                <w:color w:val="000000" w:themeColor="text1"/>
              </w:rPr>
            </w:pPr>
            <w:r>
              <w:rPr>
                <w:rFonts w:hint="eastAsia" w:cs="宋体"/>
                <w:color w:val="000000" w:themeColor="text1"/>
                <w:spacing w:val="4"/>
              </w:rPr>
              <w:t>已落实</w:t>
            </w:r>
          </w:p>
        </w:tc>
      </w:tr>
      <w:tr w14:paraId="4C75C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3C1EBECB">
            <w:pPr>
              <w:widowControl/>
              <w:adjustRightInd w:val="0"/>
              <w:snapToGrid w:val="0"/>
              <w:jc w:val="center"/>
              <w:rPr>
                <w:rFonts w:cs="宋体"/>
                <w:color w:val="000000" w:themeColor="text1"/>
              </w:rPr>
            </w:pPr>
            <w:r>
              <w:rPr>
                <w:rFonts w:hint="eastAsia" w:cs="宋体"/>
                <w:color w:val="000000" w:themeColor="text1"/>
                <w:kern w:val="0"/>
              </w:rPr>
              <w:t>1.3.1</w:t>
            </w:r>
          </w:p>
        </w:tc>
        <w:tc>
          <w:tcPr>
            <w:tcW w:w="937" w:type="pct"/>
            <w:vAlign w:val="center"/>
          </w:tcPr>
          <w:p w14:paraId="549749E1">
            <w:pPr>
              <w:widowControl/>
              <w:adjustRightInd w:val="0"/>
              <w:snapToGrid w:val="0"/>
              <w:jc w:val="center"/>
              <w:rPr>
                <w:rFonts w:cs="宋体"/>
                <w:color w:val="000000" w:themeColor="text1"/>
              </w:rPr>
            </w:pPr>
            <w:r>
              <w:rPr>
                <w:rFonts w:hint="eastAsia" w:cs="宋体"/>
                <w:color w:val="000000" w:themeColor="text1"/>
                <w:kern w:val="0"/>
              </w:rPr>
              <w:t>招标范围</w:t>
            </w:r>
          </w:p>
        </w:tc>
        <w:tc>
          <w:tcPr>
            <w:tcW w:w="3160" w:type="pct"/>
            <w:vAlign w:val="center"/>
          </w:tcPr>
          <w:p w14:paraId="3731E485">
            <w:pPr>
              <w:widowControl/>
              <w:adjustRightInd w:val="0"/>
              <w:snapToGrid w:val="0"/>
              <w:rPr>
                <w:rFonts w:cs="宋体"/>
                <w:color w:val="000000" w:themeColor="text1"/>
              </w:rPr>
            </w:pPr>
            <w:r>
              <w:rPr>
                <w:rFonts w:hint="eastAsia" w:cs="宋体"/>
                <w:color w:val="000000" w:themeColor="text1"/>
                <w:spacing w:val="4"/>
              </w:rPr>
              <w:t>见招标公告</w:t>
            </w:r>
          </w:p>
        </w:tc>
      </w:tr>
      <w:tr w14:paraId="11D5E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67B01C8D">
            <w:pPr>
              <w:widowControl/>
              <w:adjustRightInd w:val="0"/>
              <w:snapToGrid w:val="0"/>
              <w:jc w:val="center"/>
              <w:rPr>
                <w:rFonts w:cs="宋体"/>
                <w:color w:val="000000" w:themeColor="text1"/>
              </w:rPr>
            </w:pPr>
            <w:r>
              <w:rPr>
                <w:rFonts w:hint="eastAsia" w:cs="宋体"/>
                <w:color w:val="000000" w:themeColor="text1"/>
                <w:kern w:val="0"/>
              </w:rPr>
              <w:t>1.3.2</w:t>
            </w:r>
          </w:p>
        </w:tc>
        <w:tc>
          <w:tcPr>
            <w:tcW w:w="937" w:type="pct"/>
            <w:vAlign w:val="center"/>
          </w:tcPr>
          <w:p w14:paraId="26E91B14">
            <w:pPr>
              <w:widowControl/>
              <w:adjustRightInd w:val="0"/>
              <w:snapToGrid w:val="0"/>
              <w:jc w:val="center"/>
              <w:rPr>
                <w:rFonts w:cs="宋体"/>
                <w:color w:val="000000" w:themeColor="text1"/>
              </w:rPr>
            </w:pPr>
            <w:r>
              <w:rPr>
                <w:rFonts w:hint="eastAsia" w:cs="宋体"/>
                <w:color w:val="000000" w:themeColor="text1"/>
                <w:kern w:val="0"/>
              </w:rPr>
              <w:t>计划工期</w:t>
            </w:r>
          </w:p>
        </w:tc>
        <w:tc>
          <w:tcPr>
            <w:tcW w:w="3160" w:type="pct"/>
            <w:vAlign w:val="center"/>
          </w:tcPr>
          <w:p w14:paraId="05BDC47D">
            <w:pPr>
              <w:widowControl/>
              <w:adjustRightInd w:val="0"/>
              <w:snapToGrid w:val="0"/>
              <w:rPr>
                <w:color w:val="000000" w:themeColor="text1"/>
              </w:rPr>
            </w:pPr>
            <w:r>
              <w:rPr>
                <w:rFonts w:hint="eastAsia" w:ascii="宋体" w:hAnsi="宋体" w:cs="宋体"/>
                <w:color w:val="000000" w:themeColor="text1"/>
              </w:rPr>
              <w:t>见招标公告</w:t>
            </w:r>
          </w:p>
        </w:tc>
      </w:tr>
      <w:tr w14:paraId="730DA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 w:hRule="atLeast"/>
        </w:trPr>
        <w:tc>
          <w:tcPr>
            <w:tcW w:w="901" w:type="pct"/>
            <w:vAlign w:val="center"/>
          </w:tcPr>
          <w:p w14:paraId="5A394CB8">
            <w:pPr>
              <w:widowControl/>
              <w:adjustRightInd w:val="0"/>
              <w:snapToGrid w:val="0"/>
              <w:jc w:val="center"/>
              <w:rPr>
                <w:rFonts w:cs="宋体"/>
                <w:color w:val="000000" w:themeColor="text1"/>
              </w:rPr>
            </w:pPr>
            <w:r>
              <w:rPr>
                <w:rFonts w:hint="eastAsia" w:cs="宋体"/>
                <w:color w:val="000000" w:themeColor="text1"/>
                <w:kern w:val="0"/>
              </w:rPr>
              <w:t>1.3.3</w:t>
            </w:r>
          </w:p>
        </w:tc>
        <w:tc>
          <w:tcPr>
            <w:tcW w:w="937" w:type="pct"/>
            <w:vAlign w:val="center"/>
          </w:tcPr>
          <w:p w14:paraId="09801F10">
            <w:pPr>
              <w:widowControl/>
              <w:adjustRightInd w:val="0"/>
              <w:snapToGrid w:val="0"/>
              <w:jc w:val="center"/>
              <w:rPr>
                <w:rFonts w:cs="宋体"/>
                <w:color w:val="000000" w:themeColor="text1"/>
              </w:rPr>
            </w:pPr>
            <w:bookmarkStart w:id="79" w:name="_Hlk44357810"/>
            <w:r>
              <w:rPr>
                <w:rFonts w:hint="eastAsia" w:cs="宋体"/>
                <w:color w:val="000000" w:themeColor="text1"/>
                <w:kern w:val="0"/>
              </w:rPr>
              <w:t>质量要求</w:t>
            </w:r>
            <w:bookmarkEnd w:id="79"/>
          </w:p>
        </w:tc>
        <w:tc>
          <w:tcPr>
            <w:tcW w:w="3160" w:type="pct"/>
            <w:vAlign w:val="center"/>
          </w:tcPr>
          <w:p w14:paraId="032CA86B">
            <w:pPr>
              <w:widowControl/>
              <w:adjustRightInd w:val="0"/>
              <w:snapToGrid w:val="0"/>
              <w:rPr>
                <w:rFonts w:cs="宋体"/>
                <w:color w:val="000000" w:themeColor="text1"/>
              </w:rPr>
            </w:pPr>
            <w:r>
              <w:rPr>
                <w:rFonts w:hint="eastAsia" w:cs="宋体"/>
                <w:color w:val="000000" w:themeColor="text1"/>
                <w:kern w:val="0"/>
              </w:rPr>
              <w:t>合格</w:t>
            </w:r>
          </w:p>
        </w:tc>
      </w:tr>
      <w:tr w14:paraId="2040A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356101F0">
            <w:pPr>
              <w:widowControl/>
              <w:adjustRightInd w:val="0"/>
              <w:snapToGrid w:val="0"/>
              <w:jc w:val="center"/>
              <w:rPr>
                <w:rFonts w:cs="宋体"/>
                <w:color w:val="000000" w:themeColor="text1"/>
              </w:rPr>
            </w:pPr>
            <w:r>
              <w:rPr>
                <w:rFonts w:hint="eastAsia" w:cs="宋体"/>
                <w:color w:val="000000" w:themeColor="text1"/>
                <w:kern w:val="0"/>
              </w:rPr>
              <w:t>1.3.4</w:t>
            </w:r>
          </w:p>
        </w:tc>
        <w:tc>
          <w:tcPr>
            <w:tcW w:w="937" w:type="pct"/>
            <w:vAlign w:val="center"/>
          </w:tcPr>
          <w:p w14:paraId="0F92C227">
            <w:pPr>
              <w:widowControl/>
              <w:adjustRightInd w:val="0"/>
              <w:snapToGrid w:val="0"/>
              <w:jc w:val="center"/>
              <w:rPr>
                <w:rFonts w:cs="宋体"/>
                <w:color w:val="000000" w:themeColor="text1"/>
              </w:rPr>
            </w:pPr>
            <w:bookmarkStart w:id="80" w:name="_Hlk44357827"/>
            <w:r>
              <w:rPr>
                <w:rFonts w:hint="eastAsia" w:cs="宋体"/>
                <w:color w:val="000000" w:themeColor="text1"/>
                <w:kern w:val="0"/>
              </w:rPr>
              <w:t>安全目标</w:t>
            </w:r>
            <w:bookmarkEnd w:id="80"/>
          </w:p>
        </w:tc>
        <w:tc>
          <w:tcPr>
            <w:tcW w:w="3160" w:type="pct"/>
            <w:vAlign w:val="center"/>
          </w:tcPr>
          <w:p w14:paraId="73401F94">
            <w:pPr>
              <w:widowControl/>
              <w:adjustRightInd w:val="0"/>
              <w:snapToGrid w:val="0"/>
              <w:rPr>
                <w:rFonts w:cs="宋体"/>
                <w:color w:val="000000" w:themeColor="text1"/>
              </w:rPr>
            </w:pPr>
            <w:r>
              <w:rPr>
                <w:rFonts w:hint="eastAsia" w:cs="宋体"/>
                <w:color w:val="000000" w:themeColor="text1"/>
              </w:rPr>
              <w:t>安全生产无责任事故</w:t>
            </w:r>
          </w:p>
        </w:tc>
      </w:tr>
      <w:tr w14:paraId="0BD8DA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420EB2EB">
            <w:pPr>
              <w:widowControl/>
              <w:adjustRightInd w:val="0"/>
              <w:snapToGrid w:val="0"/>
              <w:jc w:val="center"/>
              <w:rPr>
                <w:rFonts w:cs="宋体"/>
                <w:color w:val="000000" w:themeColor="text1"/>
              </w:rPr>
            </w:pPr>
            <w:r>
              <w:rPr>
                <w:rFonts w:hint="eastAsia" w:cs="宋体"/>
                <w:color w:val="000000" w:themeColor="text1"/>
                <w:kern w:val="0"/>
              </w:rPr>
              <w:t>1.4.1</w:t>
            </w:r>
          </w:p>
        </w:tc>
        <w:tc>
          <w:tcPr>
            <w:tcW w:w="937" w:type="pct"/>
            <w:vAlign w:val="center"/>
          </w:tcPr>
          <w:p w14:paraId="047689EF">
            <w:pPr>
              <w:widowControl/>
              <w:adjustRightInd w:val="0"/>
              <w:snapToGrid w:val="0"/>
              <w:jc w:val="center"/>
              <w:rPr>
                <w:rFonts w:cs="宋体"/>
                <w:color w:val="000000" w:themeColor="text1"/>
              </w:rPr>
            </w:pPr>
            <w:r>
              <w:rPr>
                <w:rFonts w:hint="eastAsia" w:cs="宋体"/>
                <w:color w:val="000000" w:themeColor="text1"/>
                <w:kern w:val="0"/>
              </w:rPr>
              <w:t>投标人资质条件、能力和信誉</w:t>
            </w:r>
          </w:p>
        </w:tc>
        <w:tc>
          <w:tcPr>
            <w:tcW w:w="3160" w:type="pct"/>
            <w:vAlign w:val="center"/>
          </w:tcPr>
          <w:p w14:paraId="784BC189">
            <w:pPr>
              <w:widowControl/>
              <w:adjustRightInd w:val="0"/>
              <w:snapToGrid w:val="0"/>
              <w:rPr>
                <w:rFonts w:cs="宋体"/>
                <w:color w:val="000000" w:themeColor="text1"/>
                <w:kern w:val="0"/>
              </w:rPr>
            </w:pPr>
            <w:r>
              <w:rPr>
                <w:rFonts w:hint="eastAsia" w:cs="宋体"/>
                <w:color w:val="000000" w:themeColor="text1"/>
                <w:kern w:val="0"/>
              </w:rPr>
              <w:t>详见招标公告。</w:t>
            </w:r>
          </w:p>
        </w:tc>
      </w:tr>
      <w:tr w14:paraId="3833E7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58C23520">
            <w:pPr>
              <w:widowControl/>
              <w:adjustRightInd w:val="0"/>
              <w:snapToGrid w:val="0"/>
              <w:jc w:val="center"/>
              <w:rPr>
                <w:rFonts w:cs="宋体"/>
                <w:color w:val="000000" w:themeColor="text1"/>
              </w:rPr>
            </w:pPr>
            <w:r>
              <w:rPr>
                <w:rFonts w:hint="eastAsia" w:cs="宋体"/>
                <w:color w:val="000000" w:themeColor="text1"/>
                <w:kern w:val="0"/>
              </w:rPr>
              <w:t>1.4.2</w:t>
            </w:r>
          </w:p>
        </w:tc>
        <w:tc>
          <w:tcPr>
            <w:tcW w:w="937" w:type="pct"/>
            <w:vAlign w:val="center"/>
          </w:tcPr>
          <w:p w14:paraId="0D2CAE6B">
            <w:pPr>
              <w:widowControl/>
              <w:adjustRightInd w:val="0"/>
              <w:snapToGrid w:val="0"/>
              <w:jc w:val="center"/>
              <w:rPr>
                <w:rFonts w:cs="宋体"/>
                <w:color w:val="000000" w:themeColor="text1"/>
              </w:rPr>
            </w:pPr>
            <w:r>
              <w:rPr>
                <w:rFonts w:hint="eastAsia" w:cs="宋体"/>
                <w:color w:val="000000" w:themeColor="text1"/>
                <w:kern w:val="0"/>
              </w:rPr>
              <w:t>是否接受联合体投标</w:t>
            </w:r>
          </w:p>
        </w:tc>
        <w:tc>
          <w:tcPr>
            <w:tcW w:w="3160" w:type="pct"/>
            <w:vAlign w:val="center"/>
          </w:tcPr>
          <w:p w14:paraId="16064E32">
            <w:pPr>
              <w:widowControl/>
              <w:adjustRightInd w:val="0"/>
              <w:snapToGrid w:val="0"/>
              <w:rPr>
                <w:rFonts w:cs="宋体"/>
                <w:color w:val="000000" w:themeColor="text1"/>
                <w:kern w:val="0"/>
              </w:rPr>
            </w:pPr>
            <w:r>
              <w:rPr>
                <w:rFonts w:hint="eastAsia" w:cs="宋体"/>
                <w:color w:val="000000" w:themeColor="text1"/>
                <w:kern w:val="0"/>
              </w:rPr>
              <w:t>□接受</w:t>
            </w:r>
          </w:p>
          <w:p w14:paraId="69E13879">
            <w:pPr>
              <w:widowControl/>
              <w:adjustRightInd w:val="0"/>
              <w:snapToGrid w:val="0"/>
              <w:rPr>
                <w:rFonts w:cs="宋体"/>
                <w:color w:val="000000" w:themeColor="text1"/>
                <w:kern w:val="0"/>
              </w:rPr>
            </w:pPr>
            <w:r>
              <w:rPr>
                <w:rFonts w:hint="eastAsia" w:cs="宋体"/>
                <w:color w:val="000000" w:themeColor="text1"/>
                <w:kern w:val="0"/>
              </w:rPr>
              <w:sym w:font="Wingdings 2" w:char="0052"/>
            </w:r>
            <w:r>
              <w:rPr>
                <w:rFonts w:hint="eastAsia" w:cs="宋体"/>
                <w:color w:val="000000" w:themeColor="text1"/>
                <w:kern w:val="0"/>
              </w:rPr>
              <w:t>不接受</w:t>
            </w:r>
          </w:p>
          <w:p w14:paraId="50D234D1">
            <w:pPr>
              <w:widowControl/>
              <w:adjustRightInd w:val="0"/>
              <w:snapToGrid w:val="0"/>
              <w:rPr>
                <w:rFonts w:cs="宋体"/>
                <w:color w:val="000000" w:themeColor="text1"/>
                <w:kern w:val="0"/>
              </w:rPr>
            </w:pPr>
            <w:r>
              <w:rPr>
                <w:rFonts w:hint="eastAsia" w:cs="宋体"/>
                <w:color w:val="000000" w:themeColor="text1"/>
                <w:kern w:val="0"/>
              </w:rPr>
              <w:t>若接受，应满足下列要求：</w:t>
            </w:r>
          </w:p>
          <w:p w14:paraId="77656F5A">
            <w:pPr>
              <w:widowControl/>
              <w:adjustRightInd w:val="0"/>
              <w:snapToGrid w:val="0"/>
              <w:rPr>
                <w:rFonts w:cs="宋体"/>
                <w:color w:val="000000" w:themeColor="text1"/>
                <w:kern w:val="0"/>
              </w:rPr>
            </w:pPr>
            <w:r>
              <w:rPr>
                <w:rFonts w:hint="eastAsia" w:cs="宋体"/>
                <w:color w:val="000000" w:themeColor="text1"/>
                <w:kern w:val="0"/>
              </w:rPr>
              <w:t>（1）联合体所有成员数量不得超过家；</w:t>
            </w:r>
          </w:p>
          <w:p w14:paraId="7B0611BE">
            <w:pPr>
              <w:widowControl/>
              <w:adjustRightInd w:val="0"/>
              <w:snapToGrid w:val="0"/>
              <w:rPr>
                <w:rFonts w:cs="宋体"/>
                <w:color w:val="000000" w:themeColor="text1"/>
              </w:rPr>
            </w:pPr>
            <w:r>
              <w:rPr>
                <w:rFonts w:hint="eastAsia" w:cs="宋体"/>
                <w:color w:val="000000" w:themeColor="text1"/>
                <w:kern w:val="0"/>
              </w:rPr>
              <w:t>（2）联合体牵头人应具有资质；</w:t>
            </w:r>
          </w:p>
        </w:tc>
      </w:tr>
      <w:tr w14:paraId="6BC380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9" w:hRule="atLeast"/>
        </w:trPr>
        <w:tc>
          <w:tcPr>
            <w:tcW w:w="901" w:type="pct"/>
            <w:vAlign w:val="center"/>
          </w:tcPr>
          <w:p w14:paraId="065541A4">
            <w:pPr>
              <w:widowControl/>
              <w:adjustRightInd w:val="0"/>
              <w:snapToGrid w:val="0"/>
              <w:jc w:val="center"/>
              <w:rPr>
                <w:rFonts w:cs="宋体"/>
                <w:color w:val="000000" w:themeColor="text1"/>
              </w:rPr>
            </w:pPr>
            <w:r>
              <w:rPr>
                <w:rFonts w:hint="eastAsia" w:cs="宋体"/>
                <w:color w:val="000000" w:themeColor="text1"/>
              </w:rPr>
              <w:t>1.4.3</w:t>
            </w:r>
          </w:p>
        </w:tc>
        <w:tc>
          <w:tcPr>
            <w:tcW w:w="937" w:type="pct"/>
            <w:vAlign w:val="center"/>
          </w:tcPr>
          <w:p w14:paraId="6AC8F42B">
            <w:pPr>
              <w:widowControl/>
              <w:adjustRightInd w:val="0"/>
              <w:snapToGrid w:val="0"/>
              <w:jc w:val="center"/>
              <w:rPr>
                <w:rFonts w:cs="宋体"/>
                <w:color w:val="000000" w:themeColor="text1"/>
              </w:rPr>
            </w:pPr>
            <w:r>
              <w:rPr>
                <w:rFonts w:hint="eastAsia" w:cs="宋体"/>
                <w:color w:val="000000" w:themeColor="text1"/>
              </w:rPr>
              <w:t>投标人不得存在的其他关联情形</w:t>
            </w:r>
          </w:p>
        </w:tc>
        <w:tc>
          <w:tcPr>
            <w:tcW w:w="3160" w:type="pct"/>
            <w:vAlign w:val="center"/>
          </w:tcPr>
          <w:p w14:paraId="67A82D29">
            <w:pPr>
              <w:widowControl/>
              <w:adjustRightInd w:val="0"/>
              <w:snapToGrid w:val="0"/>
              <w:rPr>
                <w:rFonts w:cs="宋体"/>
                <w:color w:val="000000" w:themeColor="text1"/>
              </w:rPr>
            </w:pPr>
            <w:r>
              <w:rPr>
                <w:rFonts w:hint="eastAsia" w:cs="宋体"/>
                <w:color w:val="000000" w:themeColor="text1"/>
              </w:rPr>
              <w:t>/</w:t>
            </w:r>
          </w:p>
        </w:tc>
      </w:tr>
      <w:tr w14:paraId="2BB1B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4D904F4A">
            <w:pPr>
              <w:widowControl/>
              <w:adjustRightInd w:val="0"/>
              <w:snapToGrid w:val="0"/>
              <w:jc w:val="center"/>
              <w:rPr>
                <w:rFonts w:cs="宋体"/>
                <w:color w:val="000000" w:themeColor="text1"/>
                <w:kern w:val="0"/>
              </w:rPr>
            </w:pPr>
            <w:r>
              <w:rPr>
                <w:rFonts w:hint="eastAsia" w:cs="宋体"/>
                <w:color w:val="000000" w:themeColor="text1"/>
                <w:kern w:val="0"/>
              </w:rPr>
              <w:t>1.4.4</w:t>
            </w:r>
          </w:p>
        </w:tc>
        <w:tc>
          <w:tcPr>
            <w:tcW w:w="937" w:type="pct"/>
            <w:vAlign w:val="center"/>
          </w:tcPr>
          <w:p w14:paraId="5E176679">
            <w:pPr>
              <w:widowControl/>
              <w:adjustRightInd w:val="0"/>
              <w:snapToGrid w:val="0"/>
              <w:jc w:val="center"/>
              <w:rPr>
                <w:rFonts w:cs="宋体"/>
                <w:color w:val="000000" w:themeColor="text1"/>
                <w:kern w:val="0"/>
              </w:rPr>
            </w:pPr>
            <w:r>
              <w:rPr>
                <w:rFonts w:hint="eastAsia" w:cs="宋体"/>
                <w:color w:val="000000" w:themeColor="text1"/>
                <w:kern w:val="0"/>
              </w:rPr>
              <w:t>投标人不得存在的其他不良状况或不良信用记录</w:t>
            </w:r>
          </w:p>
        </w:tc>
        <w:tc>
          <w:tcPr>
            <w:tcW w:w="3160" w:type="pct"/>
            <w:vAlign w:val="center"/>
          </w:tcPr>
          <w:p w14:paraId="4D06ECEC">
            <w:pPr>
              <w:widowControl/>
              <w:adjustRightInd w:val="0"/>
              <w:snapToGrid w:val="0"/>
              <w:rPr>
                <w:rFonts w:cs="宋体"/>
                <w:color w:val="000000" w:themeColor="text1"/>
                <w:kern w:val="0"/>
              </w:rPr>
            </w:pPr>
            <w:r>
              <w:rPr>
                <w:rFonts w:hint="eastAsia" w:cs="宋体"/>
                <w:color w:val="000000" w:themeColor="text1"/>
                <w:kern w:val="0"/>
              </w:rPr>
              <w:t>/</w:t>
            </w:r>
          </w:p>
        </w:tc>
      </w:tr>
      <w:tr w14:paraId="3F3E4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5BDD484B">
            <w:pPr>
              <w:widowControl/>
              <w:adjustRightInd w:val="0"/>
              <w:snapToGrid w:val="0"/>
              <w:jc w:val="center"/>
              <w:rPr>
                <w:rFonts w:cs="宋体"/>
                <w:color w:val="000000" w:themeColor="text1"/>
                <w:kern w:val="0"/>
              </w:rPr>
            </w:pPr>
            <w:r>
              <w:rPr>
                <w:rFonts w:hint="eastAsia" w:cs="宋体"/>
                <w:color w:val="000000" w:themeColor="text1"/>
                <w:kern w:val="0"/>
              </w:rPr>
              <w:t>1.10.2</w:t>
            </w:r>
          </w:p>
        </w:tc>
        <w:tc>
          <w:tcPr>
            <w:tcW w:w="937" w:type="pct"/>
            <w:vAlign w:val="center"/>
          </w:tcPr>
          <w:p w14:paraId="67242512">
            <w:pPr>
              <w:widowControl/>
              <w:adjustRightInd w:val="0"/>
              <w:snapToGrid w:val="0"/>
              <w:jc w:val="center"/>
              <w:rPr>
                <w:rFonts w:cs="宋体"/>
                <w:color w:val="000000" w:themeColor="text1"/>
                <w:kern w:val="0"/>
              </w:rPr>
            </w:pPr>
            <w:r>
              <w:rPr>
                <w:rFonts w:hint="eastAsia" w:cs="宋体"/>
                <w:color w:val="000000" w:themeColor="text1"/>
                <w:kern w:val="0"/>
              </w:rPr>
              <w:t>投标人在投标预备会前提出问题</w:t>
            </w:r>
          </w:p>
        </w:tc>
        <w:tc>
          <w:tcPr>
            <w:tcW w:w="3160" w:type="pct"/>
            <w:vAlign w:val="center"/>
          </w:tcPr>
          <w:p w14:paraId="0D6E766C">
            <w:pPr>
              <w:widowControl/>
              <w:adjustRightInd w:val="0"/>
              <w:snapToGrid w:val="0"/>
              <w:rPr>
                <w:rFonts w:cs="宋体"/>
                <w:color w:val="000000" w:themeColor="text1"/>
                <w:kern w:val="0"/>
              </w:rPr>
            </w:pPr>
            <w:r>
              <w:rPr>
                <w:rFonts w:hint="eastAsia" w:cs="宋体"/>
                <w:color w:val="000000" w:themeColor="text1"/>
                <w:kern w:val="0"/>
              </w:rPr>
              <w:t>时间：</w:t>
            </w:r>
            <w:r>
              <w:rPr>
                <w:rFonts w:ascii="宋体" w:hAnsi="宋体" w:cs="宋体"/>
                <w:color w:val="000000" w:themeColor="text1"/>
              </w:rPr>
              <w:t>/</w:t>
            </w:r>
          </w:p>
          <w:p w14:paraId="41C172E2">
            <w:pPr>
              <w:widowControl/>
              <w:adjustRightInd w:val="0"/>
              <w:snapToGrid w:val="0"/>
              <w:rPr>
                <w:rFonts w:cs="宋体"/>
                <w:color w:val="000000" w:themeColor="text1"/>
                <w:kern w:val="0"/>
              </w:rPr>
            </w:pPr>
            <w:r>
              <w:rPr>
                <w:rFonts w:hint="eastAsia" w:cs="宋体"/>
                <w:color w:val="000000" w:themeColor="text1"/>
                <w:kern w:val="0"/>
              </w:rPr>
              <w:t>形式：</w:t>
            </w:r>
            <w:r>
              <w:rPr>
                <w:rFonts w:ascii="宋体" w:hAnsi="宋体" w:cs="宋体"/>
                <w:color w:val="000000" w:themeColor="text1"/>
              </w:rPr>
              <w:t>/</w:t>
            </w:r>
          </w:p>
        </w:tc>
      </w:tr>
      <w:tr w14:paraId="49D0F5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1F9D2866">
            <w:pPr>
              <w:widowControl/>
              <w:adjustRightInd w:val="0"/>
              <w:snapToGrid w:val="0"/>
              <w:jc w:val="center"/>
              <w:rPr>
                <w:rFonts w:cs="宋体"/>
                <w:color w:val="000000" w:themeColor="text1"/>
              </w:rPr>
            </w:pPr>
            <w:r>
              <w:rPr>
                <w:rFonts w:hint="eastAsia" w:cs="宋体"/>
                <w:color w:val="000000" w:themeColor="text1"/>
                <w:kern w:val="0"/>
              </w:rPr>
              <w:t>1.11.1</w:t>
            </w:r>
          </w:p>
        </w:tc>
        <w:tc>
          <w:tcPr>
            <w:tcW w:w="937" w:type="pct"/>
            <w:vAlign w:val="center"/>
          </w:tcPr>
          <w:p w14:paraId="1D293930">
            <w:pPr>
              <w:widowControl/>
              <w:adjustRightInd w:val="0"/>
              <w:snapToGrid w:val="0"/>
              <w:jc w:val="center"/>
              <w:rPr>
                <w:rFonts w:cs="宋体"/>
                <w:color w:val="000000" w:themeColor="text1"/>
              </w:rPr>
            </w:pPr>
            <w:r>
              <w:rPr>
                <w:rFonts w:hint="eastAsia" w:cs="宋体"/>
                <w:color w:val="000000" w:themeColor="text1"/>
                <w:kern w:val="0"/>
              </w:rPr>
              <w:t>分包</w:t>
            </w:r>
          </w:p>
        </w:tc>
        <w:tc>
          <w:tcPr>
            <w:tcW w:w="3160" w:type="pct"/>
            <w:vAlign w:val="center"/>
          </w:tcPr>
          <w:p w14:paraId="3B795EAA">
            <w:pPr>
              <w:widowControl/>
              <w:adjustRightInd w:val="0"/>
              <w:snapToGrid w:val="0"/>
              <w:rPr>
                <w:rFonts w:cs="宋体"/>
                <w:color w:val="000000" w:themeColor="text1"/>
                <w:kern w:val="0"/>
              </w:rPr>
            </w:pPr>
            <w:r>
              <w:rPr>
                <w:rFonts w:hint="eastAsia" w:cs="宋体"/>
                <w:color w:val="000000" w:themeColor="text1"/>
                <w:kern w:val="0"/>
              </w:rPr>
              <w:t>□允许</w:t>
            </w:r>
          </w:p>
          <w:p w14:paraId="6CB52BEC">
            <w:pPr>
              <w:widowControl/>
              <w:adjustRightInd w:val="0"/>
              <w:snapToGrid w:val="0"/>
              <w:rPr>
                <w:rFonts w:cs="宋体"/>
                <w:color w:val="000000" w:themeColor="text1"/>
              </w:rPr>
            </w:pPr>
            <w:bookmarkStart w:id="81" w:name="_Hlk44358528"/>
            <w:r>
              <w:rPr>
                <w:rFonts w:hint="eastAsia" w:cs="宋体"/>
                <w:color w:val="000000" w:themeColor="text1"/>
                <w:kern w:val="0"/>
              </w:rPr>
              <w:sym w:font="Wingdings 2" w:char="0052"/>
            </w:r>
            <w:bookmarkEnd w:id="81"/>
            <w:r>
              <w:rPr>
                <w:rFonts w:hint="eastAsia" w:cs="宋体"/>
                <w:color w:val="000000" w:themeColor="text1"/>
                <w:kern w:val="0"/>
              </w:rPr>
              <w:t>不允许</w:t>
            </w:r>
          </w:p>
        </w:tc>
      </w:tr>
      <w:tr w14:paraId="3570C2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72143715">
            <w:pPr>
              <w:widowControl/>
              <w:adjustRightInd w:val="0"/>
              <w:snapToGrid w:val="0"/>
              <w:jc w:val="center"/>
              <w:rPr>
                <w:rFonts w:cs="宋体"/>
                <w:color w:val="000000" w:themeColor="text1"/>
              </w:rPr>
            </w:pPr>
            <w:r>
              <w:rPr>
                <w:rFonts w:hint="eastAsia" w:cs="宋体"/>
                <w:color w:val="000000" w:themeColor="text1"/>
                <w:kern w:val="0"/>
              </w:rPr>
              <w:t>2.1</w:t>
            </w:r>
          </w:p>
        </w:tc>
        <w:tc>
          <w:tcPr>
            <w:tcW w:w="937" w:type="pct"/>
            <w:vAlign w:val="center"/>
          </w:tcPr>
          <w:p w14:paraId="13319A61">
            <w:pPr>
              <w:widowControl/>
              <w:adjustRightInd w:val="0"/>
              <w:snapToGrid w:val="0"/>
              <w:jc w:val="center"/>
              <w:rPr>
                <w:rFonts w:cs="宋体"/>
                <w:color w:val="000000" w:themeColor="text1"/>
              </w:rPr>
            </w:pPr>
            <w:r>
              <w:rPr>
                <w:rFonts w:hint="eastAsia" w:cs="宋体"/>
                <w:color w:val="000000" w:themeColor="text1"/>
                <w:kern w:val="0"/>
              </w:rPr>
              <w:t>构成招标文件的其他材料</w:t>
            </w:r>
          </w:p>
        </w:tc>
        <w:tc>
          <w:tcPr>
            <w:tcW w:w="3160" w:type="pct"/>
            <w:vAlign w:val="center"/>
          </w:tcPr>
          <w:p w14:paraId="11FB6829">
            <w:pPr>
              <w:widowControl/>
              <w:adjustRightInd w:val="0"/>
              <w:snapToGrid w:val="0"/>
              <w:rPr>
                <w:rFonts w:ascii="宋体" w:hAnsi="宋体" w:cs="宋体"/>
                <w:color w:val="000000" w:themeColor="text1"/>
                <w:kern w:val="0"/>
              </w:rPr>
            </w:pPr>
            <w:r>
              <w:rPr>
                <w:rFonts w:hint="eastAsia" w:ascii="宋体" w:hAnsi="宋体" w:cs="宋体"/>
                <w:color w:val="000000" w:themeColor="text1"/>
                <w:kern w:val="0"/>
              </w:rPr>
              <w:t>江苏省公路水运工程建设项目房建工程标准施工招标文件（2019年版）、补遗书（如有）及其他附件（如下，由投标人自行从相关网站查询）。</w:t>
            </w:r>
          </w:p>
          <w:p w14:paraId="65669D96">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附件1：江苏省公路水运建设市场信用信息管理办法</w:t>
            </w:r>
          </w:p>
          <w:p w14:paraId="4774BF0D">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附件2：公路水运工程安全生产监督管理办法</w:t>
            </w:r>
          </w:p>
          <w:p w14:paraId="09AE9A0B">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附件3:</w:t>
            </w:r>
            <w:r>
              <w:rPr>
                <w:rFonts w:hint="eastAsia" w:ascii="宋体" w:hAnsi="宋体" w:cs="宋体"/>
                <w:color w:val="000000" w:themeColor="text1"/>
                <w:kern w:val="0"/>
                <w:lang w:val="en-GB"/>
              </w:rPr>
              <w:tab/>
            </w:r>
            <w:r>
              <w:rPr>
                <w:rFonts w:hint="eastAsia" w:ascii="宋体" w:hAnsi="宋体" w:cs="宋体"/>
                <w:color w:val="000000" w:themeColor="text1"/>
                <w:kern w:val="0"/>
                <w:lang w:val="en-GB"/>
              </w:rPr>
              <w:t>江苏省公路水运工程安全生产费用管理办法</w:t>
            </w:r>
          </w:p>
          <w:p w14:paraId="1F9CC3B6">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附件4:</w:t>
            </w:r>
            <w:r>
              <w:rPr>
                <w:rFonts w:hint="eastAsia" w:ascii="宋体" w:hAnsi="宋体" w:cs="宋体"/>
                <w:color w:val="000000" w:themeColor="text1"/>
                <w:kern w:val="0"/>
                <w:lang w:val="en-GB"/>
              </w:rPr>
              <w:tab/>
            </w:r>
            <w:r>
              <w:rPr>
                <w:rFonts w:hint="eastAsia" w:ascii="宋体" w:hAnsi="宋体" w:cs="宋体"/>
                <w:color w:val="000000" w:themeColor="text1"/>
                <w:kern w:val="0"/>
                <w:lang w:val="en-GB"/>
              </w:rPr>
              <w:t>《市交通运输局关于进一步加强全市公路水运工程建设领域信用管理工作的通知》（通交建〔2021〕12号）</w:t>
            </w:r>
          </w:p>
          <w:p w14:paraId="79B61B03">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附件5：江苏省交通运输厅《关于招标文件贯彻落实扬尘污染防治有关法律法规规定的指导意见》</w:t>
            </w:r>
          </w:p>
          <w:p w14:paraId="5CDBAE69">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附件6：关于印发“全省交通建设工程工地扬尘污染防治行动方案”的通知（交质公〔2016〕35号）</w:t>
            </w:r>
          </w:p>
          <w:p w14:paraId="74D69E51">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附件7：关于农民工工资支付的相关文件</w:t>
            </w:r>
          </w:p>
          <w:p w14:paraId="112F9289">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《保障农民工工资支付条例》（中华人民共和国国务院令第724号）</w:t>
            </w:r>
          </w:p>
          <w:p w14:paraId="01ADD96E">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《交通运输部关于公路水运工程建设领域保障农民工工资支付的意见》（交公路规〔2020〕5号）</w:t>
            </w:r>
          </w:p>
          <w:p w14:paraId="6884675E">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《关于我省公路水运建设领域贯彻落实〈保障农民工工资支付条例〉的通知》（苏交传﹝2020﹞138号）</w:t>
            </w:r>
          </w:p>
          <w:p w14:paraId="31166681">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《省交通运输厅关于交通工程建设领域农民工工资专用账户管理的补充通知》（苏交传〔2020〕398号）</w:t>
            </w:r>
          </w:p>
          <w:p w14:paraId="62EB2AE4">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省交通运输厅关于交通工程建设领域保障农民工工资支付的意见 （苏交规〔2021〕2号）</w:t>
            </w:r>
          </w:p>
          <w:p w14:paraId="3D83A680">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关于印发《江苏省工程建设领域农民工工资专用账户管理细则》的通知苏人社规[2022]3号</w:t>
            </w:r>
          </w:p>
          <w:p w14:paraId="2260CCB9">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江苏省工程建设领域农民工工资保证金管理办法（苏人社规[2022]4号）</w:t>
            </w:r>
          </w:p>
          <w:p w14:paraId="1F42A92F">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《南通市工程项目根治拖欠农民工工资工作要点指南》通治欠办发〔2020〕16号</w:t>
            </w:r>
          </w:p>
          <w:p w14:paraId="29871149">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南通市人力资源和社会保障局等七部门关于印发《江苏省工程建设领域农民工工资专用账户管理细则》的通知通人社监[2022]5号</w:t>
            </w:r>
          </w:p>
          <w:p w14:paraId="3168403E">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《关于做好全市工程建设领域农民工工资保证金管理工作的通知》通人社监[2023]2号</w:t>
            </w:r>
          </w:p>
          <w:p w14:paraId="4440C4E7">
            <w:pPr>
              <w:widowControl/>
              <w:adjustRightInd w:val="0"/>
              <w:snapToGrid w:val="0"/>
              <w:rPr>
                <w:rFonts w:ascii="宋体" w:hAnsi="宋体" w:cs="宋体"/>
                <w:color w:val="000000" w:themeColor="text1"/>
                <w:kern w:val="0"/>
                <w:lang w:val="en-GB"/>
              </w:rPr>
            </w:pPr>
            <w:r>
              <w:rPr>
                <w:rFonts w:hint="eastAsia" w:ascii="宋体" w:hAnsi="宋体" w:cs="宋体"/>
                <w:color w:val="000000" w:themeColor="text1"/>
                <w:kern w:val="0"/>
                <w:lang w:val="en-GB"/>
              </w:rPr>
              <w:t>关于加强工程建设领域劳资专管员队伍建设和管理的通知通治欠办发〔2023〕11号</w:t>
            </w:r>
          </w:p>
          <w:p w14:paraId="347998A3">
            <w:pPr>
              <w:widowControl/>
              <w:adjustRightInd w:val="0"/>
              <w:snapToGrid w:val="0"/>
              <w:rPr>
                <w:rFonts w:cs="宋体"/>
                <w:color w:val="000000" w:themeColor="text1"/>
                <w:kern w:val="0"/>
                <w:lang w:val="en-GB"/>
              </w:rPr>
            </w:pPr>
            <w:r>
              <w:rPr>
                <w:rFonts w:hint="eastAsia" w:ascii="宋体" w:hAnsi="宋体" w:cs="宋体"/>
                <w:color w:val="000000" w:themeColor="text1"/>
                <w:kern w:val="0"/>
                <w:lang w:val="en-GB"/>
              </w:rPr>
              <w:t>注：包括但不限于上述文件，合同实施时以最新颁发的相关国家省市行业规定文件为准。以上附件投标人可至相关网站自行下载。</w:t>
            </w:r>
          </w:p>
        </w:tc>
      </w:tr>
      <w:tr w14:paraId="78F285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39C5D1B5">
            <w:pPr>
              <w:widowControl/>
              <w:adjustRightInd w:val="0"/>
              <w:snapToGrid w:val="0"/>
              <w:jc w:val="center"/>
              <w:rPr>
                <w:rFonts w:cs="宋体"/>
                <w:color w:val="000000" w:themeColor="text1"/>
              </w:rPr>
            </w:pPr>
            <w:r>
              <w:rPr>
                <w:rFonts w:hint="eastAsia" w:cs="宋体"/>
                <w:color w:val="000000" w:themeColor="text1"/>
                <w:kern w:val="0"/>
              </w:rPr>
              <w:t>2.2.1</w:t>
            </w:r>
          </w:p>
        </w:tc>
        <w:tc>
          <w:tcPr>
            <w:tcW w:w="937" w:type="pct"/>
            <w:vAlign w:val="center"/>
          </w:tcPr>
          <w:p w14:paraId="33D1206E">
            <w:pPr>
              <w:autoSpaceDE w:val="0"/>
              <w:autoSpaceDN w:val="0"/>
              <w:adjustRightInd w:val="0"/>
              <w:snapToGrid w:val="0"/>
              <w:jc w:val="center"/>
              <w:rPr>
                <w:rFonts w:cs="宋体"/>
                <w:color w:val="000000" w:themeColor="text1"/>
                <w:kern w:val="0"/>
              </w:rPr>
            </w:pPr>
            <w:r>
              <w:rPr>
                <w:rFonts w:hint="eastAsia" w:cs="宋体"/>
                <w:color w:val="000000" w:themeColor="text1"/>
                <w:kern w:val="0"/>
              </w:rPr>
              <w:t>投标人要求澄清招标文件</w:t>
            </w:r>
          </w:p>
        </w:tc>
        <w:tc>
          <w:tcPr>
            <w:tcW w:w="3160" w:type="pct"/>
            <w:vAlign w:val="center"/>
          </w:tcPr>
          <w:p w14:paraId="43F66702">
            <w:pPr>
              <w:rPr>
                <w:color w:val="000000" w:themeColor="text1"/>
              </w:rPr>
            </w:pPr>
            <w:r>
              <w:rPr>
                <w:rFonts w:hint="eastAsia"/>
                <w:color w:val="000000" w:themeColor="text1"/>
              </w:rPr>
              <w:t>时间：</w:t>
            </w:r>
            <w:r>
              <w:rPr>
                <w:rFonts w:hint="eastAsia"/>
                <w:color w:val="000000" w:themeColor="text1"/>
                <w:lang w:val="en-US" w:eastAsia="zh-CN"/>
              </w:rPr>
              <w:t>2024年10月14日17时</w:t>
            </w:r>
            <w:r>
              <w:rPr>
                <w:rFonts w:hint="eastAsia"/>
                <w:color w:val="000000" w:themeColor="text1"/>
              </w:rPr>
              <w:t>前</w:t>
            </w:r>
          </w:p>
          <w:p w14:paraId="0D60CE68">
            <w:pPr>
              <w:widowControl/>
              <w:adjustRightInd w:val="0"/>
              <w:snapToGrid w:val="0"/>
              <w:rPr>
                <w:rFonts w:cs="宋体"/>
                <w:color w:val="000000" w:themeColor="text1"/>
              </w:rPr>
            </w:pPr>
            <w:r>
              <w:rPr>
                <w:rFonts w:hint="eastAsia"/>
                <w:color w:val="000000" w:themeColor="text1"/>
              </w:rPr>
              <w:t>形式：传真或电子邮件</w:t>
            </w:r>
          </w:p>
        </w:tc>
      </w:tr>
      <w:tr w14:paraId="126CE8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6CE0D5C2">
            <w:pPr>
              <w:widowControl/>
              <w:adjustRightInd w:val="0"/>
              <w:snapToGrid w:val="0"/>
              <w:jc w:val="center"/>
              <w:rPr>
                <w:rFonts w:cs="宋体"/>
                <w:color w:val="000000" w:themeColor="text1"/>
              </w:rPr>
            </w:pPr>
            <w:r>
              <w:rPr>
                <w:rFonts w:hint="eastAsia" w:cs="宋体"/>
                <w:color w:val="000000" w:themeColor="text1"/>
                <w:kern w:val="0"/>
              </w:rPr>
              <w:t>2.2.2</w:t>
            </w:r>
          </w:p>
        </w:tc>
        <w:tc>
          <w:tcPr>
            <w:tcW w:w="937" w:type="pct"/>
            <w:vAlign w:val="center"/>
          </w:tcPr>
          <w:p w14:paraId="08F854F7">
            <w:pPr>
              <w:widowControl/>
              <w:adjustRightInd w:val="0"/>
              <w:snapToGrid w:val="0"/>
              <w:jc w:val="center"/>
              <w:rPr>
                <w:rFonts w:cs="宋体"/>
                <w:color w:val="000000" w:themeColor="text1"/>
              </w:rPr>
            </w:pPr>
            <w:r>
              <w:rPr>
                <w:rFonts w:hint="eastAsia" w:cs="宋体"/>
                <w:color w:val="000000" w:themeColor="text1"/>
                <w:kern w:val="0"/>
              </w:rPr>
              <w:t>招标文件澄清发出的形式</w:t>
            </w:r>
          </w:p>
        </w:tc>
        <w:tc>
          <w:tcPr>
            <w:tcW w:w="3160" w:type="pct"/>
            <w:vAlign w:val="center"/>
          </w:tcPr>
          <w:p w14:paraId="6C366BFB">
            <w:pPr>
              <w:widowControl/>
              <w:adjustRightInd w:val="0"/>
              <w:snapToGrid w:val="0"/>
              <w:rPr>
                <w:color w:val="000000" w:themeColor="text1"/>
              </w:rPr>
            </w:pPr>
            <w:r>
              <w:rPr>
                <w:rFonts w:hint="eastAsia"/>
                <w:color w:val="000000" w:themeColor="text1"/>
              </w:rPr>
              <w:t>在南通市交通运输局（http://jtysj.nantong.gov.cn）上发出招标文件澄清，请投标人自行下载。</w:t>
            </w:r>
          </w:p>
          <w:p w14:paraId="33298A69">
            <w:pPr>
              <w:widowControl/>
              <w:adjustRightInd w:val="0"/>
              <w:snapToGrid w:val="0"/>
              <w:rPr>
                <w:rFonts w:cs="宋体"/>
                <w:color w:val="000000" w:themeColor="text1"/>
              </w:rPr>
            </w:pPr>
            <w:r>
              <w:rPr>
                <w:rFonts w:hint="eastAsia"/>
                <w:color w:val="000000" w:themeColor="text1"/>
              </w:rPr>
              <w:t>澄清招标文件的时间距投标截止时间不足3日，且澄清内容可能影响投标文件编制的，将相应延长投标截止时间。</w:t>
            </w:r>
          </w:p>
        </w:tc>
      </w:tr>
      <w:tr w14:paraId="1C2A1E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79E2E15B">
            <w:pPr>
              <w:widowControl/>
              <w:adjustRightInd w:val="0"/>
              <w:snapToGrid w:val="0"/>
              <w:jc w:val="center"/>
              <w:rPr>
                <w:rFonts w:cs="宋体"/>
                <w:color w:val="000000" w:themeColor="text1"/>
              </w:rPr>
            </w:pPr>
            <w:r>
              <w:rPr>
                <w:rFonts w:hint="eastAsia" w:cs="宋体"/>
                <w:color w:val="000000" w:themeColor="text1"/>
                <w:kern w:val="0"/>
              </w:rPr>
              <w:t>2.2.3</w:t>
            </w:r>
          </w:p>
        </w:tc>
        <w:tc>
          <w:tcPr>
            <w:tcW w:w="937" w:type="pct"/>
            <w:vAlign w:val="center"/>
          </w:tcPr>
          <w:p w14:paraId="14051549">
            <w:pPr>
              <w:autoSpaceDE w:val="0"/>
              <w:autoSpaceDN w:val="0"/>
              <w:adjustRightInd w:val="0"/>
              <w:snapToGrid w:val="0"/>
              <w:jc w:val="center"/>
              <w:rPr>
                <w:rFonts w:cs="宋体"/>
                <w:color w:val="000000" w:themeColor="text1"/>
                <w:kern w:val="0"/>
              </w:rPr>
            </w:pPr>
            <w:r>
              <w:rPr>
                <w:rFonts w:hint="eastAsia" w:cs="宋体"/>
                <w:color w:val="000000" w:themeColor="text1"/>
                <w:kern w:val="0"/>
              </w:rPr>
              <w:t>投标人确认收到招标文件澄清</w:t>
            </w:r>
          </w:p>
        </w:tc>
        <w:tc>
          <w:tcPr>
            <w:tcW w:w="3160" w:type="pct"/>
            <w:vAlign w:val="center"/>
          </w:tcPr>
          <w:p w14:paraId="7C815DDD">
            <w:pPr>
              <w:adjustRightInd w:val="0"/>
              <w:snapToGrid w:val="0"/>
              <w:rPr>
                <w:rFonts w:cs="宋体"/>
                <w:color w:val="000000" w:themeColor="text1"/>
              </w:rPr>
            </w:pPr>
            <w:r>
              <w:rPr>
                <w:rFonts w:hint="eastAsia"/>
                <w:color w:val="000000" w:themeColor="text1"/>
              </w:rPr>
              <w:t>在南通市交通运输局（http://jtysj.nantong.gov.cn）上发出招标文件澄清，请投标人自行下载。在网站上一经公布，视为投标人已知悉并自行进行下载，无需确认。</w:t>
            </w:r>
          </w:p>
        </w:tc>
      </w:tr>
      <w:tr w14:paraId="0D31D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36A477B7">
            <w:pPr>
              <w:widowControl/>
              <w:adjustRightInd w:val="0"/>
              <w:snapToGrid w:val="0"/>
              <w:jc w:val="center"/>
              <w:rPr>
                <w:rFonts w:cs="宋体"/>
                <w:color w:val="000000" w:themeColor="text1"/>
              </w:rPr>
            </w:pPr>
            <w:r>
              <w:rPr>
                <w:rFonts w:hint="eastAsia" w:cs="宋体"/>
                <w:color w:val="000000" w:themeColor="text1"/>
                <w:kern w:val="0"/>
              </w:rPr>
              <w:t>2.3.1</w:t>
            </w:r>
          </w:p>
        </w:tc>
        <w:tc>
          <w:tcPr>
            <w:tcW w:w="937" w:type="pct"/>
            <w:vAlign w:val="center"/>
          </w:tcPr>
          <w:p w14:paraId="035B58DA">
            <w:pPr>
              <w:autoSpaceDE w:val="0"/>
              <w:autoSpaceDN w:val="0"/>
              <w:adjustRightInd w:val="0"/>
              <w:snapToGrid w:val="0"/>
              <w:jc w:val="center"/>
              <w:rPr>
                <w:rFonts w:cs="宋体"/>
                <w:color w:val="000000" w:themeColor="text1"/>
                <w:kern w:val="0"/>
              </w:rPr>
            </w:pPr>
            <w:r>
              <w:rPr>
                <w:rFonts w:hint="eastAsia" w:cs="宋体"/>
                <w:color w:val="000000" w:themeColor="text1"/>
                <w:kern w:val="0"/>
              </w:rPr>
              <w:t>招标文件修改发出的形式</w:t>
            </w:r>
          </w:p>
        </w:tc>
        <w:tc>
          <w:tcPr>
            <w:tcW w:w="3160" w:type="pct"/>
            <w:vAlign w:val="center"/>
          </w:tcPr>
          <w:p w14:paraId="489E4ACA">
            <w:pPr>
              <w:rPr>
                <w:color w:val="000000" w:themeColor="text1"/>
              </w:rPr>
            </w:pPr>
            <w:r>
              <w:rPr>
                <w:rFonts w:hint="eastAsia"/>
                <w:color w:val="000000" w:themeColor="text1"/>
              </w:rPr>
              <w:t>在南通市交通运输局（http://jtysj.nantong.gov.cn）上发出招标文件修改，请投标人自行下载。</w:t>
            </w:r>
          </w:p>
          <w:p w14:paraId="4F9A141B">
            <w:pPr>
              <w:adjustRightInd w:val="0"/>
              <w:snapToGrid w:val="0"/>
              <w:rPr>
                <w:rFonts w:cs="宋体"/>
                <w:color w:val="000000" w:themeColor="text1"/>
              </w:rPr>
            </w:pPr>
            <w:r>
              <w:rPr>
                <w:rFonts w:hint="eastAsia"/>
                <w:color w:val="000000" w:themeColor="text1"/>
              </w:rPr>
              <w:t>修改招标文件的时间距投标截止时间不足3日，且修改内容可能影响投标文件编制的，将相应延长投标截止时间。</w:t>
            </w:r>
          </w:p>
        </w:tc>
      </w:tr>
      <w:tr w14:paraId="7488F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61397968">
            <w:pPr>
              <w:widowControl/>
              <w:adjustRightInd w:val="0"/>
              <w:snapToGrid w:val="0"/>
              <w:jc w:val="center"/>
              <w:rPr>
                <w:rFonts w:cs="宋体"/>
                <w:color w:val="000000" w:themeColor="text1"/>
              </w:rPr>
            </w:pPr>
            <w:r>
              <w:rPr>
                <w:rFonts w:hint="eastAsia" w:cs="宋体"/>
                <w:color w:val="000000" w:themeColor="text1"/>
                <w:kern w:val="0"/>
              </w:rPr>
              <w:t>2.3.2</w:t>
            </w:r>
          </w:p>
        </w:tc>
        <w:tc>
          <w:tcPr>
            <w:tcW w:w="937" w:type="pct"/>
            <w:vAlign w:val="center"/>
          </w:tcPr>
          <w:p w14:paraId="66E8F703">
            <w:pPr>
              <w:widowControl/>
              <w:adjustRightInd w:val="0"/>
              <w:snapToGrid w:val="0"/>
              <w:jc w:val="center"/>
              <w:rPr>
                <w:rFonts w:cs="宋体"/>
                <w:color w:val="000000" w:themeColor="text1"/>
              </w:rPr>
            </w:pPr>
            <w:r>
              <w:rPr>
                <w:rFonts w:hint="eastAsia" w:cs="宋体"/>
                <w:color w:val="000000" w:themeColor="text1"/>
                <w:kern w:val="0"/>
              </w:rPr>
              <w:t>投标人确认收到招标文件修改</w:t>
            </w:r>
          </w:p>
        </w:tc>
        <w:tc>
          <w:tcPr>
            <w:tcW w:w="3160" w:type="pct"/>
            <w:vAlign w:val="center"/>
          </w:tcPr>
          <w:p w14:paraId="32F5FDE9">
            <w:pPr>
              <w:widowControl/>
              <w:adjustRightInd w:val="0"/>
              <w:snapToGrid w:val="0"/>
              <w:rPr>
                <w:rFonts w:cs="宋体"/>
                <w:color w:val="000000" w:themeColor="text1"/>
              </w:rPr>
            </w:pPr>
            <w:r>
              <w:rPr>
                <w:rFonts w:hint="eastAsia" w:cs="宋体"/>
                <w:color w:val="000000" w:themeColor="text1"/>
                <w:kern w:val="0"/>
              </w:rPr>
              <w:t>在南通市交通运输局（http://jtysj.nantong.gov.cn）上发出招标文件修改，请投标人自行下载。在网站上一经公布，视为投标人已知悉并自行进行下载，无需确认。</w:t>
            </w:r>
          </w:p>
        </w:tc>
      </w:tr>
      <w:tr w14:paraId="67A89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2B5E12EC">
            <w:pPr>
              <w:widowControl/>
              <w:adjustRightInd w:val="0"/>
              <w:snapToGrid w:val="0"/>
              <w:jc w:val="center"/>
              <w:rPr>
                <w:rFonts w:cs="宋体"/>
                <w:color w:val="000000" w:themeColor="text1"/>
              </w:rPr>
            </w:pPr>
            <w:r>
              <w:rPr>
                <w:rFonts w:hint="eastAsia" w:cs="宋体"/>
                <w:color w:val="000000" w:themeColor="text1"/>
                <w:kern w:val="0"/>
              </w:rPr>
              <w:t>3.1.1</w:t>
            </w:r>
          </w:p>
        </w:tc>
        <w:tc>
          <w:tcPr>
            <w:tcW w:w="937" w:type="pct"/>
            <w:vAlign w:val="center"/>
          </w:tcPr>
          <w:p w14:paraId="2986B44B">
            <w:pPr>
              <w:autoSpaceDE w:val="0"/>
              <w:autoSpaceDN w:val="0"/>
              <w:adjustRightInd w:val="0"/>
              <w:snapToGrid w:val="0"/>
              <w:jc w:val="center"/>
              <w:rPr>
                <w:rFonts w:cs="宋体"/>
                <w:color w:val="000000" w:themeColor="text1"/>
                <w:kern w:val="0"/>
              </w:rPr>
            </w:pPr>
            <w:r>
              <w:rPr>
                <w:rFonts w:hint="eastAsia" w:cs="宋体"/>
                <w:color w:val="000000" w:themeColor="text1"/>
                <w:kern w:val="0"/>
              </w:rPr>
              <w:t>投标文件密封</w:t>
            </w:r>
          </w:p>
          <w:p w14:paraId="29FD1A19">
            <w:pPr>
              <w:autoSpaceDE w:val="0"/>
              <w:autoSpaceDN w:val="0"/>
              <w:adjustRightInd w:val="0"/>
              <w:snapToGrid w:val="0"/>
              <w:jc w:val="center"/>
              <w:rPr>
                <w:rFonts w:cs="宋体"/>
                <w:color w:val="000000" w:themeColor="text1"/>
                <w:kern w:val="0"/>
              </w:rPr>
            </w:pPr>
            <w:r>
              <w:rPr>
                <w:rFonts w:hint="eastAsia" w:cs="宋体"/>
                <w:color w:val="000000" w:themeColor="text1"/>
                <w:kern w:val="0"/>
              </w:rPr>
              <w:t>形式</w:t>
            </w:r>
          </w:p>
        </w:tc>
        <w:tc>
          <w:tcPr>
            <w:tcW w:w="3160" w:type="pct"/>
            <w:vAlign w:val="center"/>
          </w:tcPr>
          <w:p w14:paraId="3C8F7117">
            <w:pPr>
              <w:widowControl/>
              <w:adjustRightInd w:val="0"/>
              <w:snapToGrid w:val="0"/>
              <w:rPr>
                <w:rFonts w:cs="宋体"/>
                <w:color w:val="000000" w:themeColor="text1"/>
                <w:kern w:val="0"/>
              </w:rPr>
            </w:pPr>
            <w:r>
              <w:rPr>
                <w:rFonts w:hint="eastAsia" w:cs="宋体"/>
                <w:color w:val="000000" w:themeColor="text1"/>
                <w:kern w:val="0"/>
              </w:rPr>
              <w:t>□单信封</w:t>
            </w:r>
          </w:p>
          <w:p w14:paraId="54A560F6">
            <w:pPr>
              <w:widowControl/>
              <w:adjustRightInd w:val="0"/>
              <w:snapToGrid w:val="0"/>
              <w:rPr>
                <w:rFonts w:cs="宋体"/>
                <w:color w:val="000000" w:themeColor="text1"/>
              </w:rPr>
            </w:pPr>
            <w:r>
              <w:rPr>
                <w:rFonts w:hint="eastAsia" w:cs="宋体"/>
                <w:color w:val="000000" w:themeColor="text1"/>
                <w:kern w:val="0"/>
              </w:rPr>
              <w:sym w:font="Wingdings 2" w:char="0052"/>
            </w:r>
            <w:r>
              <w:rPr>
                <w:rFonts w:hint="eastAsia" w:cs="宋体"/>
                <w:color w:val="000000" w:themeColor="text1"/>
                <w:kern w:val="0"/>
              </w:rPr>
              <w:t>双信封</w:t>
            </w:r>
          </w:p>
        </w:tc>
      </w:tr>
      <w:tr w14:paraId="0F01CA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70FB9A3C">
            <w:pPr>
              <w:widowControl/>
              <w:adjustRightInd w:val="0"/>
              <w:snapToGrid w:val="0"/>
              <w:jc w:val="center"/>
              <w:rPr>
                <w:rFonts w:cs="宋体"/>
                <w:color w:val="000000" w:themeColor="text1"/>
              </w:rPr>
            </w:pPr>
            <w:r>
              <w:rPr>
                <w:rFonts w:hint="eastAsia" w:cs="宋体"/>
                <w:color w:val="000000" w:themeColor="text1"/>
                <w:kern w:val="0"/>
              </w:rPr>
              <w:t>3.1.1</w:t>
            </w:r>
          </w:p>
        </w:tc>
        <w:tc>
          <w:tcPr>
            <w:tcW w:w="937" w:type="pct"/>
            <w:vAlign w:val="center"/>
          </w:tcPr>
          <w:p w14:paraId="3FB36D42">
            <w:pPr>
              <w:widowControl/>
              <w:adjustRightInd w:val="0"/>
              <w:snapToGrid w:val="0"/>
              <w:jc w:val="center"/>
              <w:rPr>
                <w:rFonts w:cs="宋体"/>
                <w:color w:val="000000" w:themeColor="text1"/>
              </w:rPr>
            </w:pPr>
            <w:r>
              <w:rPr>
                <w:rFonts w:hint="eastAsia" w:cs="宋体"/>
                <w:color w:val="000000" w:themeColor="text1"/>
                <w:kern w:val="0"/>
              </w:rPr>
              <w:t>构成投标文件的其他材料</w:t>
            </w:r>
          </w:p>
        </w:tc>
        <w:tc>
          <w:tcPr>
            <w:tcW w:w="3160" w:type="pct"/>
            <w:vAlign w:val="center"/>
          </w:tcPr>
          <w:p w14:paraId="015969B7">
            <w:pPr>
              <w:widowControl/>
              <w:adjustRightInd w:val="0"/>
              <w:snapToGrid w:val="0"/>
              <w:rPr>
                <w:rFonts w:cs="宋体"/>
                <w:color w:val="000000" w:themeColor="text1"/>
              </w:rPr>
            </w:pPr>
            <w:r>
              <w:rPr>
                <w:rFonts w:hint="eastAsia" w:cs="宋体"/>
                <w:color w:val="000000" w:themeColor="text1"/>
              </w:rPr>
              <w:t>/</w:t>
            </w:r>
          </w:p>
        </w:tc>
      </w:tr>
      <w:tr w14:paraId="307426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7F1BD0A6">
            <w:pPr>
              <w:widowControl/>
              <w:adjustRightInd w:val="0"/>
              <w:snapToGrid w:val="0"/>
              <w:jc w:val="center"/>
              <w:rPr>
                <w:rFonts w:cs="宋体"/>
                <w:color w:val="000000" w:themeColor="text1"/>
                <w:kern w:val="0"/>
              </w:rPr>
            </w:pPr>
            <w:r>
              <w:rPr>
                <w:rFonts w:hint="eastAsia" w:cs="宋体"/>
                <w:color w:val="000000" w:themeColor="text1"/>
                <w:kern w:val="0"/>
              </w:rPr>
              <w:t>3.2.1</w:t>
            </w:r>
          </w:p>
        </w:tc>
        <w:tc>
          <w:tcPr>
            <w:tcW w:w="937" w:type="pct"/>
            <w:vAlign w:val="center"/>
          </w:tcPr>
          <w:p w14:paraId="4981D513">
            <w:pPr>
              <w:widowControl/>
              <w:adjustRightInd w:val="0"/>
              <w:snapToGrid w:val="0"/>
              <w:jc w:val="center"/>
              <w:rPr>
                <w:rFonts w:cs="宋体"/>
                <w:color w:val="000000" w:themeColor="text1"/>
                <w:kern w:val="0"/>
              </w:rPr>
            </w:pPr>
            <w:r>
              <w:rPr>
                <w:rFonts w:hint="eastAsia" w:cs="宋体"/>
                <w:color w:val="000000" w:themeColor="text1"/>
                <w:kern w:val="0"/>
              </w:rPr>
              <w:t>增值税税金的计算方法</w:t>
            </w:r>
          </w:p>
        </w:tc>
        <w:tc>
          <w:tcPr>
            <w:tcW w:w="3160" w:type="pct"/>
            <w:vAlign w:val="center"/>
          </w:tcPr>
          <w:p w14:paraId="239EA2CA">
            <w:pPr>
              <w:widowControl/>
              <w:adjustRightInd w:val="0"/>
              <w:snapToGrid w:val="0"/>
              <w:rPr>
                <w:rFonts w:cs="宋体"/>
                <w:color w:val="000000" w:themeColor="text1"/>
              </w:rPr>
            </w:pPr>
            <w:r>
              <w:rPr>
                <w:rFonts w:hint="eastAsia" w:cs="宋体"/>
                <w:color w:val="000000" w:themeColor="text1"/>
              </w:rPr>
              <w:t>按一般计税方法计算。</w:t>
            </w:r>
          </w:p>
        </w:tc>
      </w:tr>
      <w:tr w14:paraId="725CF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2C316146">
            <w:pPr>
              <w:widowControl/>
              <w:adjustRightInd w:val="0"/>
              <w:snapToGrid w:val="0"/>
              <w:jc w:val="center"/>
              <w:rPr>
                <w:rFonts w:cs="宋体"/>
                <w:color w:val="000000" w:themeColor="text1"/>
              </w:rPr>
            </w:pPr>
            <w:r>
              <w:rPr>
                <w:rFonts w:hint="eastAsia" w:cs="宋体"/>
                <w:color w:val="000000" w:themeColor="text1"/>
                <w:kern w:val="0"/>
              </w:rPr>
              <w:t>3.2.1</w:t>
            </w:r>
          </w:p>
        </w:tc>
        <w:tc>
          <w:tcPr>
            <w:tcW w:w="937" w:type="pct"/>
            <w:vAlign w:val="center"/>
          </w:tcPr>
          <w:p w14:paraId="0EC6E3CD">
            <w:pPr>
              <w:widowControl/>
              <w:adjustRightInd w:val="0"/>
              <w:snapToGrid w:val="0"/>
              <w:jc w:val="center"/>
              <w:rPr>
                <w:rFonts w:cs="宋体"/>
                <w:color w:val="000000" w:themeColor="text1"/>
              </w:rPr>
            </w:pPr>
            <w:r>
              <w:rPr>
                <w:rFonts w:hint="eastAsia" w:cs="宋体"/>
                <w:color w:val="000000" w:themeColor="text1"/>
                <w:kern w:val="0"/>
              </w:rPr>
              <w:t>工程量清单的填写方式</w:t>
            </w:r>
          </w:p>
        </w:tc>
        <w:tc>
          <w:tcPr>
            <w:tcW w:w="3160" w:type="pct"/>
            <w:vAlign w:val="center"/>
          </w:tcPr>
          <w:p w14:paraId="506984E2">
            <w:pPr>
              <w:widowControl/>
              <w:adjustRightInd w:val="0"/>
              <w:snapToGrid w:val="0"/>
              <w:rPr>
                <w:rFonts w:cs="宋体"/>
                <w:color w:val="000000" w:themeColor="text1"/>
              </w:rPr>
            </w:pPr>
            <w:r>
              <w:rPr>
                <w:rFonts w:hint="eastAsia"/>
                <w:color w:val="000000" w:themeColor="text1"/>
              </w:rPr>
              <w:t>投标人按照招标人提供的工程量固化清单电子文件填写工程量清单</w:t>
            </w:r>
          </w:p>
        </w:tc>
      </w:tr>
      <w:tr w14:paraId="2EDA4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18109DCA">
            <w:pPr>
              <w:widowControl/>
              <w:adjustRightInd w:val="0"/>
              <w:snapToGrid w:val="0"/>
              <w:jc w:val="center"/>
              <w:rPr>
                <w:rFonts w:cs="宋体"/>
                <w:color w:val="000000" w:themeColor="text1"/>
                <w:kern w:val="0"/>
              </w:rPr>
            </w:pPr>
            <w:r>
              <w:rPr>
                <w:rFonts w:hint="eastAsia" w:cs="宋体"/>
                <w:color w:val="000000" w:themeColor="text1"/>
                <w:kern w:val="0"/>
              </w:rPr>
              <w:t>3.2.3</w:t>
            </w:r>
          </w:p>
        </w:tc>
        <w:tc>
          <w:tcPr>
            <w:tcW w:w="937" w:type="pct"/>
            <w:vAlign w:val="center"/>
          </w:tcPr>
          <w:p w14:paraId="63500219">
            <w:pPr>
              <w:widowControl/>
              <w:adjustRightInd w:val="0"/>
              <w:snapToGrid w:val="0"/>
              <w:jc w:val="center"/>
              <w:rPr>
                <w:rFonts w:cs="宋体"/>
                <w:color w:val="000000" w:themeColor="text1"/>
                <w:kern w:val="0"/>
              </w:rPr>
            </w:pPr>
            <w:r>
              <w:rPr>
                <w:rFonts w:hint="eastAsia" w:cs="宋体"/>
                <w:color w:val="000000" w:themeColor="text1"/>
                <w:kern w:val="0"/>
              </w:rPr>
              <w:t>报价方式</w:t>
            </w:r>
          </w:p>
        </w:tc>
        <w:tc>
          <w:tcPr>
            <w:tcW w:w="3160" w:type="pct"/>
            <w:vAlign w:val="center"/>
          </w:tcPr>
          <w:p w14:paraId="00DF2D56">
            <w:pPr>
              <w:widowControl/>
              <w:adjustRightInd w:val="0"/>
              <w:snapToGrid w:val="0"/>
              <w:rPr>
                <w:color w:val="000000" w:themeColor="text1"/>
              </w:rPr>
            </w:pPr>
            <w:r>
              <w:rPr>
                <w:color w:val="000000" w:themeColor="text1"/>
              </w:rPr>
              <w:sym w:font="Wingdings 2" w:char="00A3"/>
            </w:r>
            <w:r>
              <w:rPr>
                <w:rFonts w:hint="eastAsia"/>
                <w:color w:val="000000" w:themeColor="text1"/>
              </w:rPr>
              <w:t>单价</w:t>
            </w:r>
          </w:p>
          <w:p w14:paraId="02663673">
            <w:pPr>
              <w:widowControl/>
              <w:adjustRightInd w:val="0"/>
              <w:snapToGrid w:val="0"/>
              <w:rPr>
                <w:rFonts w:cs="宋体"/>
                <w:color w:val="000000" w:themeColor="text1"/>
              </w:rPr>
            </w:pPr>
            <w:r>
              <w:rPr>
                <w:rFonts w:cs="宋体"/>
                <w:color w:val="000000" w:themeColor="text1"/>
              </w:rPr>
              <w:sym w:font="Wingdings 2" w:char="0052"/>
            </w:r>
            <w:r>
              <w:rPr>
                <w:rFonts w:hint="eastAsia"/>
                <w:color w:val="000000" w:themeColor="text1"/>
              </w:rPr>
              <w:t>总价</w:t>
            </w:r>
          </w:p>
        </w:tc>
      </w:tr>
      <w:tr w14:paraId="10609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7F57D14A">
            <w:pPr>
              <w:widowControl/>
              <w:adjustRightInd w:val="0"/>
              <w:snapToGrid w:val="0"/>
              <w:jc w:val="center"/>
              <w:rPr>
                <w:rFonts w:cs="宋体"/>
                <w:color w:val="000000" w:themeColor="text1"/>
              </w:rPr>
            </w:pPr>
            <w:r>
              <w:rPr>
                <w:rFonts w:hint="eastAsia" w:cs="宋体"/>
                <w:color w:val="000000" w:themeColor="text1"/>
                <w:kern w:val="0"/>
              </w:rPr>
              <w:t>3.2.6</w:t>
            </w:r>
          </w:p>
        </w:tc>
        <w:tc>
          <w:tcPr>
            <w:tcW w:w="937" w:type="pct"/>
            <w:vAlign w:val="center"/>
          </w:tcPr>
          <w:p w14:paraId="111BBD70">
            <w:pPr>
              <w:widowControl/>
              <w:adjustRightInd w:val="0"/>
              <w:snapToGrid w:val="0"/>
              <w:jc w:val="center"/>
              <w:rPr>
                <w:rFonts w:cs="宋体"/>
                <w:color w:val="000000" w:themeColor="text1"/>
              </w:rPr>
            </w:pPr>
            <w:r>
              <w:rPr>
                <w:rFonts w:hint="eastAsia" w:cs="宋体"/>
                <w:color w:val="000000" w:themeColor="text1"/>
                <w:kern w:val="0"/>
              </w:rPr>
              <w:t>是否接受调价函</w:t>
            </w:r>
          </w:p>
        </w:tc>
        <w:tc>
          <w:tcPr>
            <w:tcW w:w="3160" w:type="pct"/>
            <w:vAlign w:val="center"/>
          </w:tcPr>
          <w:p w14:paraId="3299C641">
            <w:pPr>
              <w:widowControl/>
              <w:adjustRightInd w:val="0"/>
              <w:snapToGrid w:val="0"/>
              <w:rPr>
                <w:rFonts w:cs="宋体"/>
                <w:color w:val="000000" w:themeColor="text1"/>
              </w:rPr>
            </w:pPr>
            <w:r>
              <w:rPr>
                <w:rFonts w:hint="eastAsia" w:cs="宋体"/>
                <w:color w:val="000000" w:themeColor="text1"/>
              </w:rPr>
              <w:t>□是</w:t>
            </w:r>
          </w:p>
          <w:p w14:paraId="5632524B">
            <w:pPr>
              <w:widowControl/>
              <w:adjustRightInd w:val="0"/>
              <w:snapToGrid w:val="0"/>
              <w:rPr>
                <w:rFonts w:cs="宋体"/>
                <w:color w:val="000000" w:themeColor="text1"/>
              </w:rPr>
            </w:pPr>
            <w:r>
              <w:rPr>
                <w:rFonts w:hint="eastAsia" w:cs="宋体"/>
                <w:color w:val="000000" w:themeColor="text1"/>
              </w:rPr>
              <w:sym w:font="Wingdings 2" w:char="0052"/>
            </w:r>
            <w:r>
              <w:rPr>
                <w:rFonts w:hint="eastAsia" w:cs="宋体"/>
                <w:color w:val="000000" w:themeColor="text1"/>
              </w:rPr>
              <w:t>否</w:t>
            </w:r>
          </w:p>
        </w:tc>
      </w:tr>
      <w:tr w14:paraId="24057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352E5470">
            <w:pPr>
              <w:widowControl/>
              <w:adjustRightInd w:val="0"/>
              <w:snapToGrid w:val="0"/>
              <w:jc w:val="center"/>
              <w:rPr>
                <w:rFonts w:cs="宋体"/>
                <w:color w:val="000000" w:themeColor="text1"/>
                <w:kern w:val="0"/>
              </w:rPr>
            </w:pPr>
            <w:r>
              <w:rPr>
                <w:rFonts w:hint="eastAsia" w:cs="宋体"/>
                <w:color w:val="000000" w:themeColor="text1"/>
                <w:kern w:val="0"/>
              </w:rPr>
              <w:t>3.2.8</w:t>
            </w:r>
          </w:p>
        </w:tc>
        <w:tc>
          <w:tcPr>
            <w:tcW w:w="937" w:type="pct"/>
            <w:vAlign w:val="center"/>
          </w:tcPr>
          <w:p w14:paraId="0FDCB9F4">
            <w:pPr>
              <w:widowControl/>
              <w:adjustRightInd w:val="0"/>
              <w:snapToGrid w:val="0"/>
              <w:jc w:val="center"/>
              <w:rPr>
                <w:rFonts w:cs="宋体"/>
                <w:color w:val="000000" w:themeColor="text1"/>
                <w:kern w:val="0"/>
              </w:rPr>
            </w:pPr>
            <w:r>
              <w:rPr>
                <w:rFonts w:hint="eastAsia" w:cs="宋体"/>
                <w:color w:val="000000" w:themeColor="text1"/>
                <w:kern w:val="0"/>
              </w:rPr>
              <w:t>最高投标限价</w:t>
            </w:r>
          </w:p>
        </w:tc>
        <w:tc>
          <w:tcPr>
            <w:tcW w:w="3160" w:type="pct"/>
            <w:vAlign w:val="center"/>
          </w:tcPr>
          <w:p w14:paraId="173A90EC">
            <w:pPr>
              <w:widowControl/>
              <w:adjustRightInd w:val="0"/>
              <w:snapToGrid w:val="0"/>
              <w:rPr>
                <w:rFonts w:cs="宋体"/>
                <w:color w:val="000000" w:themeColor="text1"/>
              </w:rPr>
            </w:pPr>
            <w:r>
              <w:rPr>
                <w:rFonts w:hint="eastAsia" w:cs="宋体"/>
                <w:color w:val="000000" w:themeColor="text1"/>
              </w:rPr>
              <w:t>□无</w:t>
            </w:r>
          </w:p>
          <w:p w14:paraId="7C391871">
            <w:pPr>
              <w:widowControl/>
              <w:adjustRightInd w:val="0"/>
              <w:snapToGrid w:val="0"/>
              <w:rPr>
                <w:rFonts w:cs="宋体"/>
                <w:color w:val="000000" w:themeColor="text1"/>
              </w:rPr>
            </w:pPr>
            <w:r>
              <w:rPr>
                <w:rFonts w:hint="eastAsia" w:cs="宋体"/>
                <w:color w:val="000000" w:themeColor="text1"/>
              </w:rPr>
              <w:sym w:font="Wingdings 2" w:char="0052"/>
            </w:r>
            <w:r>
              <w:rPr>
                <w:rFonts w:hint="eastAsia" w:cs="宋体"/>
                <w:color w:val="000000" w:themeColor="text1"/>
              </w:rPr>
              <w:t>有，最高投标限价：</w:t>
            </w:r>
          </w:p>
          <w:p w14:paraId="31FEFF93">
            <w:pPr>
              <w:widowControl/>
              <w:adjustRightInd w:val="0"/>
              <w:snapToGrid w:val="0"/>
              <w:rPr>
                <w:b/>
                <w:color w:val="000000" w:themeColor="text1"/>
                <w:kern w:val="0"/>
              </w:rPr>
            </w:pPr>
            <w:r>
              <w:rPr>
                <w:rFonts w:hint="eastAsia"/>
                <w:b/>
                <w:color w:val="000000" w:themeColor="text1"/>
                <w:kern w:val="0"/>
              </w:rPr>
              <w:t>本项目招标人设定的投标控制价上限（总价）为：人民币伍万柒仟玖佰捌拾元捌角贰分（¥57980.82）。</w:t>
            </w:r>
          </w:p>
          <w:p w14:paraId="3B33B77D">
            <w:pPr>
              <w:widowControl/>
              <w:adjustRightInd w:val="0"/>
              <w:snapToGrid w:val="0"/>
              <w:rPr>
                <w:rFonts w:cs="宋体"/>
                <w:color w:val="000000" w:themeColor="text1"/>
              </w:rPr>
            </w:pPr>
            <w:r>
              <w:rPr>
                <w:rFonts w:hint="eastAsia"/>
                <w:b/>
                <w:color w:val="000000" w:themeColor="text1"/>
                <w:kern w:val="0"/>
              </w:rPr>
              <w:t>超过该投标控制价上限（总价）的投标作否决投标处理。</w:t>
            </w:r>
          </w:p>
        </w:tc>
      </w:tr>
      <w:tr w14:paraId="69A88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3EA8BF30">
            <w:pPr>
              <w:widowControl/>
              <w:adjustRightInd w:val="0"/>
              <w:snapToGrid w:val="0"/>
              <w:jc w:val="center"/>
              <w:rPr>
                <w:rFonts w:cs="宋体"/>
                <w:color w:val="000000" w:themeColor="text1"/>
                <w:kern w:val="0"/>
              </w:rPr>
            </w:pPr>
            <w:r>
              <w:rPr>
                <w:rFonts w:hint="eastAsia" w:cs="宋体"/>
                <w:color w:val="000000" w:themeColor="text1"/>
                <w:kern w:val="0"/>
              </w:rPr>
              <w:t>3.2.9</w:t>
            </w:r>
          </w:p>
        </w:tc>
        <w:tc>
          <w:tcPr>
            <w:tcW w:w="937" w:type="pct"/>
            <w:vAlign w:val="center"/>
          </w:tcPr>
          <w:p w14:paraId="3E15E166">
            <w:pPr>
              <w:widowControl/>
              <w:adjustRightInd w:val="0"/>
              <w:snapToGrid w:val="0"/>
              <w:jc w:val="center"/>
              <w:rPr>
                <w:rFonts w:cs="宋体"/>
                <w:color w:val="000000" w:themeColor="text1"/>
                <w:kern w:val="0"/>
              </w:rPr>
            </w:pPr>
            <w:r>
              <w:rPr>
                <w:rFonts w:hint="eastAsia" w:cs="宋体"/>
                <w:color w:val="000000" w:themeColor="text1"/>
                <w:kern w:val="0"/>
              </w:rPr>
              <w:t>投标报价的其他要求</w:t>
            </w:r>
          </w:p>
        </w:tc>
        <w:tc>
          <w:tcPr>
            <w:tcW w:w="3160" w:type="pct"/>
            <w:vAlign w:val="center"/>
          </w:tcPr>
          <w:p w14:paraId="47649A91">
            <w:pPr>
              <w:widowControl/>
              <w:adjustRightInd w:val="0"/>
              <w:snapToGrid w:val="0"/>
              <w:rPr>
                <w:rFonts w:cs="宋体"/>
                <w:color w:val="000000" w:themeColor="text1"/>
              </w:rPr>
            </w:pPr>
            <w:r>
              <w:rPr>
                <w:rFonts w:hint="eastAsia" w:cs="宋体"/>
                <w:color w:val="000000" w:themeColor="text1"/>
              </w:rPr>
              <w:t>1、本合同采用固定总价合同。投标报价应包括招标文件所确定的招标范围内相应工程量清单及相关资料及规范、规定等全部内容（包含但不限于投标人承担本合同项目全部工程的实施、完成所需的材料费、人工费、交通费、保险费、设备费、劳务费、管理费、维护费、安全生产费、保险费、利润以及合同明示或暗示的所有一般风险责任和义务费用），以及为完成上述内容所必须的附属工程、临时工程、材料、劳务、机械、成品保护、垂直运输、脚手架搭设使用、与各工种间的协调配合工作、清洗、养护、验收、安全措施、技术措施，作为一名有经验的投标人所应考虑到的各种因素、风险及所需的全部费用。</w:t>
            </w:r>
          </w:p>
          <w:p w14:paraId="7A53F217">
            <w:pPr>
              <w:widowControl/>
              <w:adjustRightInd w:val="0"/>
              <w:snapToGrid w:val="0"/>
              <w:rPr>
                <w:rFonts w:cs="宋体"/>
                <w:color w:val="000000" w:themeColor="text1"/>
              </w:rPr>
            </w:pPr>
            <w:r>
              <w:rPr>
                <w:rFonts w:hint="eastAsia" w:cs="宋体"/>
                <w:color w:val="000000" w:themeColor="text1"/>
              </w:rPr>
              <w:t>2、</w:t>
            </w:r>
            <w:r>
              <w:rPr>
                <w:rFonts w:hint="eastAsia" w:ascii="宋体" w:hAnsi="宋体" w:cs="宋体"/>
              </w:rPr>
              <w:t>在合同执行期间，发包人不提供完成本合同所需的其它任何生活（含食宿）、办公设施、及交通、通讯工具等，相关费用投标人在报价时应充分考虑到相关报价中。</w:t>
            </w:r>
          </w:p>
          <w:p w14:paraId="53AFACF7">
            <w:pPr>
              <w:widowControl/>
              <w:adjustRightInd w:val="0"/>
              <w:snapToGrid w:val="0"/>
              <w:rPr>
                <w:rFonts w:cs="宋体"/>
                <w:color w:val="000000" w:themeColor="text1"/>
              </w:rPr>
            </w:pPr>
            <w:r>
              <w:rPr>
                <w:rFonts w:hint="eastAsia" w:cs="宋体"/>
                <w:color w:val="000000" w:themeColor="text1"/>
              </w:rPr>
              <w:t>3、承包人应在监理人的指示下，为本项目其他工程提供必要的便利条件。承包人因此发生的一切费用均应含入所报的投标报价中，发包人不再单独计量与支付。</w:t>
            </w:r>
          </w:p>
          <w:p w14:paraId="6497872B">
            <w:pPr>
              <w:widowControl/>
              <w:adjustRightInd w:val="0"/>
              <w:snapToGrid w:val="0"/>
              <w:rPr>
                <w:rFonts w:cs="宋体"/>
                <w:color w:val="000000" w:themeColor="text1"/>
              </w:rPr>
            </w:pPr>
            <w:r>
              <w:rPr>
                <w:rFonts w:hint="eastAsia" w:cs="宋体"/>
                <w:color w:val="000000" w:themeColor="text1"/>
              </w:rPr>
              <w:t>4、投标人应承担其投标文件编制与递交所涉及的一切费用，不管结果如何，招标人对上述费用不负任何责任。</w:t>
            </w:r>
          </w:p>
          <w:p w14:paraId="3301F419">
            <w:pPr>
              <w:widowControl/>
              <w:adjustRightInd w:val="0"/>
              <w:snapToGrid w:val="0"/>
              <w:rPr>
                <w:rFonts w:cs="宋体"/>
                <w:color w:val="000000" w:themeColor="text1"/>
              </w:rPr>
            </w:pPr>
            <w:r>
              <w:rPr>
                <w:rFonts w:hint="eastAsia" w:cs="宋体"/>
                <w:color w:val="000000" w:themeColor="text1"/>
              </w:rPr>
              <w:t>5、施工期间承包人必须严格执行国家、地方政府有关施工安全管理方面的法律、法规及规章制度，同时严格执行发包人制定的本标段安全生产管理方面的规章制度、安全检查程序及施工安全管理要求。</w:t>
            </w:r>
          </w:p>
          <w:p w14:paraId="6116EDB0">
            <w:pPr>
              <w:widowControl/>
              <w:adjustRightInd w:val="0"/>
              <w:snapToGrid w:val="0"/>
              <w:rPr>
                <w:rFonts w:cs="宋体"/>
                <w:color w:val="000000" w:themeColor="text1"/>
              </w:rPr>
            </w:pPr>
            <w:r>
              <w:rPr>
                <w:rFonts w:hint="eastAsia" w:cs="宋体"/>
                <w:color w:val="000000" w:themeColor="text1"/>
              </w:rPr>
              <w:t>6、保险</w:t>
            </w:r>
          </w:p>
          <w:p w14:paraId="2F69C586">
            <w:pPr>
              <w:widowControl/>
              <w:adjustRightInd w:val="0"/>
              <w:snapToGrid w:val="0"/>
              <w:rPr>
                <w:rFonts w:cs="宋体"/>
                <w:color w:val="000000" w:themeColor="text1"/>
              </w:rPr>
            </w:pPr>
            <w:r>
              <w:rPr>
                <w:rFonts w:hint="eastAsia" w:cs="宋体"/>
                <w:color w:val="000000" w:themeColor="text1"/>
              </w:rPr>
              <w:t>a、建筑工程一切险及第三者责任保险由承包人自行承担和投保，投保条件与保险费率由承包人根据江苏省保险行业协会有关水运工程保险的相关规定自行考虑，此项保险的一切费用包含在所报的投标总价中，不单独计量与支付。</w:t>
            </w:r>
          </w:p>
          <w:p w14:paraId="64064A92">
            <w:pPr>
              <w:widowControl/>
              <w:adjustRightInd w:val="0"/>
              <w:snapToGrid w:val="0"/>
              <w:rPr>
                <w:rFonts w:cs="宋体"/>
                <w:color w:val="000000" w:themeColor="text1"/>
              </w:rPr>
            </w:pPr>
            <w:r>
              <w:rPr>
                <w:rFonts w:hint="eastAsia" w:cs="宋体"/>
                <w:color w:val="000000" w:themeColor="text1"/>
              </w:rPr>
              <w:t>b、承包人必须为本项目使用的未按用人单位参保的人员（包括农民工）缴纳工伤保险费，此项保险的一切费用包含在所报的投标总价中，不单独计量与支付。</w:t>
            </w:r>
          </w:p>
          <w:p w14:paraId="5067A3CA">
            <w:pPr>
              <w:widowControl/>
              <w:adjustRightInd w:val="0"/>
              <w:snapToGrid w:val="0"/>
              <w:rPr>
                <w:rFonts w:cs="宋体"/>
                <w:color w:val="000000" w:themeColor="text1"/>
              </w:rPr>
            </w:pPr>
            <w:r>
              <w:rPr>
                <w:rFonts w:hint="eastAsia" w:cs="宋体"/>
                <w:color w:val="000000" w:themeColor="text1"/>
              </w:rPr>
              <w:t>c、承包人装备财产险由投标人自行投保，此项保险的一切费用包含在所报的投标总价中，不单独计量与支付；</w:t>
            </w:r>
          </w:p>
          <w:p w14:paraId="2EACEF55">
            <w:pPr>
              <w:widowControl/>
              <w:adjustRightInd w:val="0"/>
              <w:snapToGrid w:val="0"/>
              <w:rPr>
                <w:rFonts w:cs="宋体"/>
                <w:color w:val="000000" w:themeColor="text1"/>
              </w:rPr>
            </w:pPr>
            <w:r>
              <w:rPr>
                <w:rFonts w:hint="eastAsia" w:cs="宋体"/>
                <w:color w:val="000000" w:themeColor="text1"/>
              </w:rPr>
              <w:t>d、承包人应在整个施工期间为其现场机构雇用的全部人员（包括临时工和农民工） ，投保人身意外伤害险，此项保险的一切费用包含在所报的投标总价中，不单独计量与支付。</w:t>
            </w:r>
          </w:p>
          <w:p w14:paraId="638164DA">
            <w:pPr>
              <w:widowControl/>
              <w:adjustRightInd w:val="0"/>
              <w:snapToGrid w:val="0"/>
              <w:rPr>
                <w:rFonts w:cs="宋体"/>
                <w:color w:val="000000" w:themeColor="text1"/>
              </w:rPr>
            </w:pPr>
            <w:r>
              <w:rPr>
                <w:rFonts w:hint="eastAsia" w:cs="宋体"/>
                <w:color w:val="000000" w:themeColor="text1"/>
              </w:rPr>
              <w:t xml:space="preserve">7、投标人在投标报价时还需考虑以下因素： </w:t>
            </w:r>
          </w:p>
          <w:p w14:paraId="46F22721">
            <w:pPr>
              <w:widowControl/>
              <w:adjustRightInd w:val="0"/>
              <w:snapToGrid w:val="0"/>
              <w:rPr>
                <w:rFonts w:cs="宋体"/>
                <w:color w:val="000000" w:themeColor="text1"/>
              </w:rPr>
            </w:pPr>
            <w:r>
              <w:rPr>
                <w:rFonts w:hint="eastAsia" w:cs="宋体"/>
                <w:color w:val="000000" w:themeColor="text1"/>
              </w:rPr>
              <w:t>(1)施工现场用水、通讯条件、其它临时交通以及承包人修建的临时用房，投标人应根据现场考察情况自行落实解决，其临时工程与设施应考虑施工期施工、地方临时通行需要。与之相关的费用计入相关项目单价或总额价中。</w:t>
            </w:r>
          </w:p>
          <w:p w14:paraId="421CFA68">
            <w:pPr>
              <w:widowControl/>
              <w:adjustRightInd w:val="0"/>
              <w:snapToGrid w:val="0"/>
              <w:rPr>
                <w:rFonts w:cs="宋体"/>
                <w:color w:val="000000" w:themeColor="text1"/>
              </w:rPr>
            </w:pPr>
            <w:r>
              <w:rPr>
                <w:rFonts w:hint="eastAsia" w:cs="宋体"/>
                <w:color w:val="000000" w:themeColor="text1"/>
              </w:rPr>
              <w:t>(2)投标人应充分认识到本标段的场地条件、自然条件、施工安全要求的特点和难点，在报价时予以考虑。</w:t>
            </w:r>
          </w:p>
          <w:p w14:paraId="05584E71">
            <w:pPr>
              <w:widowControl/>
              <w:adjustRightInd w:val="0"/>
              <w:snapToGrid w:val="0"/>
              <w:rPr>
                <w:rFonts w:cs="宋体"/>
                <w:color w:val="000000" w:themeColor="text1"/>
              </w:rPr>
            </w:pPr>
            <w:r>
              <w:rPr>
                <w:rFonts w:hint="eastAsia" w:cs="宋体"/>
                <w:color w:val="000000" w:themeColor="text1"/>
              </w:rPr>
              <w:t>(3)施工要考虑保证道路畅通的需要，所采取的措施应含在投标人的投标报价中。</w:t>
            </w:r>
          </w:p>
          <w:p w14:paraId="1048B711">
            <w:pPr>
              <w:widowControl/>
              <w:adjustRightInd w:val="0"/>
              <w:snapToGrid w:val="0"/>
              <w:rPr>
                <w:rFonts w:cs="宋体"/>
                <w:color w:val="000000" w:themeColor="text1"/>
              </w:rPr>
            </w:pPr>
            <w:r>
              <w:rPr>
                <w:rFonts w:hint="eastAsia" w:cs="宋体"/>
                <w:color w:val="000000" w:themeColor="text1"/>
              </w:rPr>
              <w:t>(4)本项目施工环保费、扬尘污染增加费由投标人在投标报价时充分考虑，相关费用包含在所报的投标总价中，不单独计量与支付。承包人施工时应按相关规范和发包人的要求做好安全防护和环境保护工作，不得污染周边环境。若因承包人原因给发包人造成污染的，由此产生的损失或赔偿由承包人承担。</w:t>
            </w:r>
          </w:p>
          <w:p w14:paraId="374C70E8">
            <w:pPr>
              <w:widowControl/>
              <w:adjustRightInd w:val="0"/>
              <w:snapToGrid w:val="0"/>
              <w:rPr>
                <w:rFonts w:cs="宋体"/>
                <w:color w:val="000000" w:themeColor="text1"/>
              </w:rPr>
            </w:pPr>
            <w:r>
              <w:rPr>
                <w:rFonts w:hint="eastAsia" w:cs="宋体"/>
                <w:color w:val="000000" w:themeColor="text1"/>
              </w:rPr>
              <w:t>(5)本项目安全生产费用按公路水运工程安全生产监督管理办法》（[2017]第25号）”和“关于印发《企业安全生产费用提取和使用管理办法》的通知（财企[2012]16号）”的规定，按招标人设定最高投标限价上限的1.5%（不</w:t>
            </w:r>
            <w:r>
              <w:rPr>
                <w:rFonts w:hint="eastAsia" w:cs="宋体"/>
                <w:color w:val="000000" w:themeColor="text1"/>
                <w:lang w:val="en-US" w:eastAsia="zh-CN"/>
              </w:rPr>
              <w:t>足</w:t>
            </w:r>
            <w:r>
              <w:rPr>
                <w:rFonts w:hint="eastAsia" w:cs="宋体"/>
                <w:color w:val="000000" w:themeColor="text1"/>
              </w:rPr>
              <w:t>1万按1万计），以固定金额形式计入工程量清单中。该安全生产费用应用于施工安全防护用具及设施的采购和更新、安全施工措施的落实、安全生产条件的改善等，不得挪作他用，投标人在报价时不得修改。此项费用由承包人包干使用。如承包人在此基础上增加安全生产费用以满足项目施工需要，则承包人应在本项目工程量清单其他相关子目的单价或总额价中予以考虑，发包人不另支付。</w:t>
            </w:r>
          </w:p>
          <w:p w14:paraId="09D69815">
            <w:pPr>
              <w:widowControl/>
              <w:adjustRightInd w:val="0"/>
              <w:snapToGrid w:val="0"/>
              <w:rPr>
                <w:rFonts w:cs="宋体"/>
                <w:color w:val="000000" w:themeColor="text1"/>
              </w:rPr>
            </w:pPr>
            <w:r>
              <w:rPr>
                <w:rFonts w:hint="eastAsia" w:cs="宋体"/>
                <w:color w:val="000000" w:themeColor="text1"/>
              </w:rPr>
              <w:t>(6)施工期间承包人应严格执行关于排污的环保要求。严禁随意将生活垃圾和生活污水及废弃油料直接排入水域，防止施工机械的油料泄漏。排放污染物应进行必要的处理，达到排污标准以后方可排放。在施工期间，若因承包人违规施工而造成环境与设施的污染、破坏，发包人将要求追究承包人所有责任。承包人因执行以上各项要求而发生的一切费用应含在相关细目报价中，不单独计量与支付，投标人在投标报价时应充分考虑。</w:t>
            </w:r>
          </w:p>
          <w:p w14:paraId="272C3120">
            <w:pPr>
              <w:widowControl/>
              <w:adjustRightInd w:val="0"/>
              <w:snapToGrid w:val="0"/>
              <w:rPr>
                <w:rFonts w:cs="宋体"/>
                <w:color w:val="000000" w:themeColor="text1"/>
              </w:rPr>
            </w:pPr>
            <w:r>
              <w:rPr>
                <w:rFonts w:hint="eastAsia" w:cs="宋体"/>
                <w:color w:val="000000" w:themeColor="text1"/>
              </w:rPr>
              <w:t>(7)承包人需保护好工程范围内的施工场地，如在工程范围内出现建筑垃圾，需由承包人自行承担清理，费用自理，运距自行考虑且不能对周边环境与设施造成污染和破坏，投标人在投标报价时应充分考虑，结算时，发包人不再另行支付。</w:t>
            </w:r>
          </w:p>
          <w:p w14:paraId="2BD61EA3">
            <w:pPr>
              <w:widowControl/>
              <w:adjustRightInd w:val="0"/>
              <w:snapToGrid w:val="0"/>
              <w:rPr>
                <w:rFonts w:cs="宋体"/>
                <w:color w:val="000000" w:themeColor="text1"/>
              </w:rPr>
            </w:pPr>
            <w:r>
              <w:rPr>
                <w:rFonts w:hint="eastAsia" w:cs="宋体"/>
                <w:color w:val="000000" w:themeColor="text1"/>
              </w:rPr>
              <w:t>(8)为完成本项目施工，除清单列明的措施及一般项目之外，其它相关措施均不单独计量与支付，包含在投标报价中。</w:t>
            </w:r>
          </w:p>
        </w:tc>
      </w:tr>
      <w:tr w14:paraId="221B1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0EB7F3C6">
            <w:pPr>
              <w:widowControl/>
              <w:adjustRightInd w:val="0"/>
              <w:snapToGrid w:val="0"/>
              <w:jc w:val="center"/>
              <w:rPr>
                <w:rFonts w:cs="宋体"/>
                <w:color w:val="000000" w:themeColor="text1"/>
              </w:rPr>
            </w:pPr>
            <w:r>
              <w:rPr>
                <w:rFonts w:hint="eastAsia" w:cs="宋体"/>
                <w:color w:val="000000" w:themeColor="text1"/>
                <w:kern w:val="0"/>
              </w:rPr>
              <w:t>3.3.1</w:t>
            </w:r>
          </w:p>
        </w:tc>
        <w:tc>
          <w:tcPr>
            <w:tcW w:w="937" w:type="pct"/>
            <w:vAlign w:val="center"/>
          </w:tcPr>
          <w:p w14:paraId="503A05B2">
            <w:pPr>
              <w:widowControl/>
              <w:adjustRightInd w:val="0"/>
              <w:snapToGrid w:val="0"/>
              <w:jc w:val="center"/>
              <w:rPr>
                <w:rFonts w:cs="宋体"/>
                <w:color w:val="000000" w:themeColor="text1"/>
              </w:rPr>
            </w:pPr>
            <w:r>
              <w:rPr>
                <w:rFonts w:hint="eastAsia" w:cs="宋体"/>
                <w:color w:val="000000" w:themeColor="text1"/>
                <w:kern w:val="0"/>
              </w:rPr>
              <w:t>投标有效期</w:t>
            </w:r>
          </w:p>
        </w:tc>
        <w:tc>
          <w:tcPr>
            <w:tcW w:w="3160" w:type="pct"/>
            <w:vAlign w:val="center"/>
          </w:tcPr>
          <w:p w14:paraId="7DABF313">
            <w:pPr>
              <w:widowControl/>
              <w:adjustRightInd w:val="0"/>
              <w:snapToGrid w:val="0"/>
              <w:rPr>
                <w:rFonts w:cs="宋体"/>
                <w:b/>
                <w:color w:val="000000" w:themeColor="text1"/>
              </w:rPr>
            </w:pPr>
            <w:r>
              <w:rPr>
                <w:rFonts w:hint="eastAsia" w:cs="宋体"/>
                <w:color w:val="000000" w:themeColor="text1"/>
                <w:kern w:val="0"/>
              </w:rPr>
              <w:t>自投标人提交投标文件截止之日起计算90天</w:t>
            </w:r>
          </w:p>
        </w:tc>
      </w:tr>
      <w:tr w14:paraId="2F6B0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4" w:hRule="atLeast"/>
        </w:trPr>
        <w:tc>
          <w:tcPr>
            <w:tcW w:w="901" w:type="pct"/>
            <w:vAlign w:val="center"/>
          </w:tcPr>
          <w:p w14:paraId="3EB8938D">
            <w:pPr>
              <w:widowControl/>
              <w:adjustRightInd w:val="0"/>
              <w:snapToGrid w:val="0"/>
              <w:jc w:val="center"/>
              <w:rPr>
                <w:rFonts w:cs="宋体"/>
                <w:color w:val="000000" w:themeColor="text1"/>
              </w:rPr>
            </w:pPr>
            <w:r>
              <w:rPr>
                <w:rFonts w:hint="eastAsia" w:cs="宋体"/>
                <w:color w:val="000000" w:themeColor="text1"/>
                <w:kern w:val="0"/>
              </w:rPr>
              <w:t>3.4.1</w:t>
            </w:r>
          </w:p>
        </w:tc>
        <w:tc>
          <w:tcPr>
            <w:tcW w:w="937" w:type="pct"/>
            <w:vAlign w:val="center"/>
          </w:tcPr>
          <w:p w14:paraId="6F3969EA">
            <w:pPr>
              <w:widowControl/>
              <w:adjustRightInd w:val="0"/>
              <w:snapToGrid w:val="0"/>
              <w:jc w:val="center"/>
              <w:rPr>
                <w:rFonts w:cs="宋体"/>
                <w:color w:val="000000" w:themeColor="text1"/>
              </w:rPr>
            </w:pPr>
            <w:r>
              <w:rPr>
                <w:rFonts w:hint="eastAsia" w:cs="宋体"/>
                <w:color w:val="000000" w:themeColor="text1"/>
                <w:kern w:val="0"/>
              </w:rPr>
              <w:t>投标保证金</w:t>
            </w:r>
          </w:p>
        </w:tc>
        <w:tc>
          <w:tcPr>
            <w:tcW w:w="3160" w:type="pct"/>
            <w:vAlign w:val="center"/>
          </w:tcPr>
          <w:p w14:paraId="4764F227">
            <w:pPr>
              <w:autoSpaceDE w:val="0"/>
              <w:autoSpaceDN w:val="0"/>
              <w:adjustRightInd w:val="0"/>
              <w:rPr>
                <w:rFonts w:cs="T3Font_0"/>
                <w:color w:val="000000" w:themeColor="text1"/>
                <w:kern w:val="0"/>
              </w:rPr>
            </w:pPr>
            <w:r>
              <w:rPr>
                <w:rFonts w:hint="eastAsia" w:cs="T3Font_0"/>
                <w:color w:val="000000" w:themeColor="text1"/>
                <w:kern w:val="0"/>
              </w:rPr>
              <w:t>本项目不设投标保证金。</w:t>
            </w:r>
          </w:p>
        </w:tc>
      </w:tr>
      <w:tr w14:paraId="16A4D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0DAC4A28">
            <w:pPr>
              <w:widowControl/>
              <w:adjustRightInd w:val="0"/>
              <w:snapToGrid w:val="0"/>
              <w:jc w:val="center"/>
              <w:rPr>
                <w:rFonts w:cs="宋体"/>
                <w:color w:val="000000" w:themeColor="text1"/>
              </w:rPr>
            </w:pPr>
            <w:r>
              <w:rPr>
                <w:rFonts w:hint="eastAsia" w:cs="宋体"/>
                <w:color w:val="000000" w:themeColor="text1"/>
                <w:kern w:val="0"/>
              </w:rPr>
              <w:t>3.4.3</w:t>
            </w:r>
          </w:p>
        </w:tc>
        <w:tc>
          <w:tcPr>
            <w:tcW w:w="937" w:type="pct"/>
            <w:vAlign w:val="center"/>
          </w:tcPr>
          <w:p w14:paraId="16264393">
            <w:pPr>
              <w:widowControl/>
              <w:adjustRightInd w:val="0"/>
              <w:snapToGrid w:val="0"/>
              <w:jc w:val="center"/>
              <w:rPr>
                <w:rFonts w:cs="宋体"/>
                <w:color w:val="000000" w:themeColor="text1"/>
              </w:rPr>
            </w:pPr>
            <w:r>
              <w:rPr>
                <w:rFonts w:hint="eastAsia" w:cs="宋体"/>
                <w:color w:val="000000" w:themeColor="text1"/>
                <w:kern w:val="0"/>
              </w:rPr>
              <w:t>投标保证金的利息计算原则</w:t>
            </w:r>
          </w:p>
        </w:tc>
        <w:tc>
          <w:tcPr>
            <w:tcW w:w="3160" w:type="pct"/>
            <w:vAlign w:val="center"/>
          </w:tcPr>
          <w:p w14:paraId="34E08788">
            <w:pPr>
              <w:widowControl/>
              <w:adjustRightInd w:val="0"/>
              <w:snapToGrid w:val="0"/>
              <w:rPr>
                <w:rFonts w:cs="宋体"/>
                <w:color w:val="000000" w:themeColor="text1"/>
                <w:kern w:val="0"/>
              </w:rPr>
            </w:pPr>
            <w:r>
              <w:rPr>
                <w:rFonts w:hint="eastAsia" w:cs="宋体"/>
                <w:color w:val="000000" w:themeColor="text1"/>
                <w:kern w:val="0"/>
              </w:rPr>
              <w:t>（1）计算利息的起始日期为投标截止当日，终止日期为招标人退还投标保证金日期的前一日；</w:t>
            </w:r>
          </w:p>
          <w:p w14:paraId="79F152E0">
            <w:pPr>
              <w:widowControl/>
              <w:adjustRightInd w:val="0"/>
              <w:snapToGrid w:val="0"/>
              <w:rPr>
                <w:rFonts w:cs="宋体"/>
                <w:color w:val="000000" w:themeColor="text1"/>
                <w:kern w:val="0"/>
              </w:rPr>
            </w:pPr>
            <w:r>
              <w:rPr>
                <w:rFonts w:hint="eastAsia" w:cs="宋体"/>
                <w:color w:val="000000" w:themeColor="text1"/>
                <w:kern w:val="0"/>
              </w:rPr>
              <w:t>（2）投标保证金的利息按照第（1）款所述计息时间段内招标人指定汇入银行公告的活期存款利率计付，并扣除招标人汇款手续费；</w:t>
            </w:r>
          </w:p>
          <w:p w14:paraId="4268E653">
            <w:pPr>
              <w:widowControl/>
              <w:adjustRightInd w:val="0"/>
              <w:snapToGrid w:val="0"/>
              <w:rPr>
                <w:rFonts w:cs="宋体"/>
                <w:color w:val="000000" w:themeColor="text1"/>
                <w:kern w:val="0"/>
                <w:u w:val="single"/>
              </w:rPr>
            </w:pPr>
            <w:r>
              <w:rPr>
                <w:rFonts w:hint="eastAsia" w:cs="宋体"/>
                <w:color w:val="000000" w:themeColor="text1"/>
                <w:kern w:val="0"/>
              </w:rPr>
              <w:t>（3）利息金额计算至分位，分以下尾数四舍五入。</w:t>
            </w:r>
          </w:p>
        </w:tc>
      </w:tr>
      <w:tr w14:paraId="50953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672C9350">
            <w:pPr>
              <w:widowControl/>
              <w:adjustRightInd w:val="0"/>
              <w:snapToGrid w:val="0"/>
              <w:jc w:val="center"/>
              <w:rPr>
                <w:rFonts w:cs="宋体"/>
                <w:color w:val="000000" w:themeColor="text1"/>
                <w:kern w:val="0"/>
              </w:rPr>
            </w:pPr>
            <w:r>
              <w:rPr>
                <w:rFonts w:hint="eastAsia" w:cs="宋体"/>
                <w:color w:val="000000" w:themeColor="text1"/>
                <w:kern w:val="0"/>
              </w:rPr>
              <w:t>3.4.4</w:t>
            </w:r>
          </w:p>
        </w:tc>
        <w:tc>
          <w:tcPr>
            <w:tcW w:w="937" w:type="pct"/>
            <w:vAlign w:val="center"/>
          </w:tcPr>
          <w:p w14:paraId="50812917">
            <w:pPr>
              <w:widowControl/>
              <w:adjustRightInd w:val="0"/>
              <w:snapToGrid w:val="0"/>
              <w:jc w:val="center"/>
              <w:rPr>
                <w:rFonts w:cs="宋体"/>
                <w:color w:val="000000" w:themeColor="text1"/>
                <w:kern w:val="0"/>
              </w:rPr>
            </w:pPr>
            <w:r>
              <w:rPr>
                <w:rFonts w:hint="eastAsia" w:cs="宋体"/>
                <w:color w:val="000000" w:themeColor="text1"/>
                <w:kern w:val="0"/>
              </w:rPr>
              <w:t>其他可以不予退还投标保证金的情形</w:t>
            </w:r>
          </w:p>
        </w:tc>
        <w:tc>
          <w:tcPr>
            <w:tcW w:w="3160" w:type="pct"/>
            <w:vAlign w:val="center"/>
          </w:tcPr>
          <w:p w14:paraId="72256D66">
            <w:pPr>
              <w:widowControl/>
              <w:adjustRightInd w:val="0"/>
              <w:snapToGrid w:val="0"/>
              <w:rPr>
                <w:rFonts w:cs="宋体"/>
                <w:color w:val="000000" w:themeColor="text1"/>
                <w:kern w:val="0"/>
              </w:rPr>
            </w:pPr>
            <w:r>
              <w:rPr>
                <w:rFonts w:hint="eastAsia" w:cs="宋体"/>
                <w:color w:val="000000" w:themeColor="text1"/>
                <w:kern w:val="0"/>
              </w:rPr>
              <w:t>a、投标人不接受依据评标办法的规定对其投标文件中细微偏差进行澄清和补正；</w:t>
            </w:r>
          </w:p>
          <w:p w14:paraId="0A18E3B2">
            <w:pPr>
              <w:widowControl/>
              <w:adjustRightInd w:val="0"/>
              <w:snapToGrid w:val="0"/>
              <w:rPr>
                <w:rFonts w:cs="宋体"/>
                <w:color w:val="000000" w:themeColor="text1"/>
                <w:kern w:val="0"/>
              </w:rPr>
            </w:pPr>
            <w:r>
              <w:rPr>
                <w:rFonts w:hint="eastAsia" w:cs="宋体"/>
                <w:color w:val="000000" w:themeColor="text1"/>
                <w:kern w:val="0"/>
              </w:rPr>
              <w:t>b、投标人提交了虚假资料。</w:t>
            </w:r>
          </w:p>
          <w:p w14:paraId="0EFF9712">
            <w:pPr>
              <w:widowControl/>
              <w:adjustRightInd w:val="0"/>
              <w:snapToGrid w:val="0"/>
              <w:rPr>
                <w:rFonts w:cs="宋体"/>
                <w:color w:val="000000" w:themeColor="text1"/>
                <w:kern w:val="0"/>
              </w:rPr>
            </w:pPr>
            <w:r>
              <w:rPr>
                <w:rFonts w:hint="eastAsia" w:cs="宋体"/>
                <w:color w:val="000000" w:themeColor="text1"/>
                <w:kern w:val="0"/>
              </w:rPr>
              <w:t>c、投标人有串标、围标、“挂靠”其他单位参与投标，贿赂评标专家或招标人工作人员，以及其他违反国家招投标管理有关规定的行为。</w:t>
            </w:r>
          </w:p>
        </w:tc>
      </w:tr>
      <w:tr w14:paraId="4888F8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41E6F504">
            <w:pPr>
              <w:widowControl/>
              <w:adjustRightInd w:val="0"/>
              <w:snapToGrid w:val="0"/>
              <w:jc w:val="center"/>
              <w:rPr>
                <w:rFonts w:cs="宋体"/>
                <w:color w:val="000000" w:themeColor="text1"/>
                <w:kern w:val="0"/>
              </w:rPr>
            </w:pPr>
            <w:r>
              <w:rPr>
                <w:rFonts w:hint="eastAsia" w:cs="宋体"/>
                <w:color w:val="000000" w:themeColor="text1"/>
                <w:kern w:val="0"/>
              </w:rPr>
              <w:t>3.5</w:t>
            </w:r>
          </w:p>
        </w:tc>
        <w:tc>
          <w:tcPr>
            <w:tcW w:w="937" w:type="pct"/>
            <w:vAlign w:val="center"/>
          </w:tcPr>
          <w:p w14:paraId="35C3E278">
            <w:pPr>
              <w:widowControl/>
              <w:adjustRightInd w:val="0"/>
              <w:snapToGrid w:val="0"/>
              <w:jc w:val="center"/>
              <w:rPr>
                <w:rFonts w:cs="宋体"/>
                <w:color w:val="000000" w:themeColor="text1"/>
                <w:kern w:val="0"/>
              </w:rPr>
            </w:pPr>
            <w:r>
              <w:rPr>
                <w:rFonts w:hint="eastAsia" w:cs="宋体"/>
                <w:color w:val="000000" w:themeColor="text1"/>
                <w:kern w:val="0"/>
              </w:rPr>
              <w:t>资格审查资料的特殊要求</w:t>
            </w:r>
          </w:p>
        </w:tc>
        <w:tc>
          <w:tcPr>
            <w:tcW w:w="3160" w:type="pct"/>
            <w:vAlign w:val="center"/>
          </w:tcPr>
          <w:p w14:paraId="48B78B84">
            <w:pPr>
              <w:widowControl/>
              <w:adjustRightInd w:val="0"/>
              <w:snapToGrid w:val="0"/>
              <w:rPr>
                <w:color w:val="000000" w:themeColor="text1"/>
                <w:kern w:val="0"/>
              </w:rPr>
            </w:pPr>
            <w:r>
              <w:rPr>
                <w:rFonts w:hint="eastAsia"/>
                <w:color w:val="000000" w:themeColor="text1"/>
                <w:kern w:val="0"/>
              </w:rPr>
              <w:sym w:font="Wingdings 2" w:char="0052"/>
            </w:r>
            <w:r>
              <w:rPr>
                <w:rFonts w:hint="eastAsia"/>
                <w:color w:val="000000" w:themeColor="text1"/>
                <w:kern w:val="0"/>
              </w:rPr>
              <w:t>无</w:t>
            </w:r>
          </w:p>
          <w:p w14:paraId="0C422309">
            <w:pPr>
              <w:widowControl/>
              <w:adjustRightInd w:val="0"/>
              <w:snapToGrid w:val="0"/>
              <w:rPr>
                <w:color w:val="000000" w:themeColor="text1"/>
                <w:kern w:val="0"/>
              </w:rPr>
            </w:pPr>
            <w:r>
              <w:rPr>
                <w:rFonts w:hint="eastAsia"/>
                <w:color w:val="000000" w:themeColor="text1"/>
                <w:kern w:val="0"/>
              </w:rPr>
              <w:sym w:font="Wingdings 2" w:char="00A3"/>
            </w:r>
            <w:r>
              <w:rPr>
                <w:rFonts w:hint="eastAsia"/>
                <w:color w:val="000000" w:themeColor="text1"/>
                <w:kern w:val="0"/>
              </w:rPr>
              <w:t>有,具体要求：</w:t>
            </w:r>
          </w:p>
        </w:tc>
      </w:tr>
      <w:tr w14:paraId="2CCE5A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2A48CAC1">
            <w:pPr>
              <w:widowControl/>
              <w:adjustRightInd w:val="0"/>
              <w:snapToGrid w:val="0"/>
              <w:jc w:val="center"/>
              <w:rPr>
                <w:rFonts w:cs="宋体"/>
                <w:color w:val="000000" w:themeColor="text1"/>
              </w:rPr>
            </w:pPr>
            <w:r>
              <w:rPr>
                <w:rFonts w:hint="eastAsia" w:cs="宋体"/>
                <w:color w:val="000000" w:themeColor="text1"/>
                <w:kern w:val="0"/>
              </w:rPr>
              <w:t>3.5.2</w:t>
            </w:r>
          </w:p>
        </w:tc>
        <w:tc>
          <w:tcPr>
            <w:tcW w:w="937" w:type="pct"/>
            <w:vAlign w:val="center"/>
          </w:tcPr>
          <w:p w14:paraId="1584C2FF">
            <w:pPr>
              <w:widowControl/>
              <w:adjustRightInd w:val="0"/>
              <w:snapToGrid w:val="0"/>
              <w:jc w:val="center"/>
              <w:rPr>
                <w:rFonts w:cs="宋体"/>
                <w:color w:val="000000" w:themeColor="text1"/>
              </w:rPr>
            </w:pPr>
            <w:r>
              <w:rPr>
                <w:rFonts w:hint="eastAsia" w:cs="宋体"/>
                <w:color w:val="000000" w:themeColor="text1"/>
                <w:kern w:val="0"/>
              </w:rPr>
              <w:t>近年财务状况的年份要求</w:t>
            </w:r>
          </w:p>
        </w:tc>
        <w:tc>
          <w:tcPr>
            <w:tcW w:w="3160" w:type="pct"/>
            <w:vAlign w:val="center"/>
          </w:tcPr>
          <w:p w14:paraId="52754095">
            <w:pPr>
              <w:widowControl/>
              <w:adjustRightInd w:val="0"/>
              <w:snapToGrid w:val="0"/>
              <w:rPr>
                <w:rFonts w:cs="宋体"/>
                <w:color w:val="000000" w:themeColor="text1"/>
                <w:kern w:val="0"/>
              </w:rPr>
            </w:pPr>
            <w:r>
              <w:rPr>
                <w:rFonts w:hint="eastAsia" w:cs="宋体"/>
                <w:color w:val="000000" w:themeColor="text1"/>
                <w:kern w:val="0"/>
              </w:rPr>
              <w:t>/</w:t>
            </w:r>
          </w:p>
        </w:tc>
      </w:tr>
      <w:tr w14:paraId="26520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1D2370E5">
            <w:pPr>
              <w:widowControl/>
              <w:adjustRightInd w:val="0"/>
              <w:snapToGrid w:val="0"/>
              <w:jc w:val="center"/>
              <w:rPr>
                <w:rFonts w:cs="宋体"/>
                <w:color w:val="000000" w:themeColor="text1"/>
              </w:rPr>
            </w:pPr>
            <w:r>
              <w:rPr>
                <w:rFonts w:hint="eastAsia" w:cs="宋体"/>
                <w:color w:val="000000" w:themeColor="text1"/>
                <w:kern w:val="0"/>
              </w:rPr>
              <w:t>3.5.3</w:t>
            </w:r>
          </w:p>
        </w:tc>
        <w:tc>
          <w:tcPr>
            <w:tcW w:w="937" w:type="pct"/>
            <w:vAlign w:val="center"/>
          </w:tcPr>
          <w:p w14:paraId="7F6D83F4">
            <w:pPr>
              <w:autoSpaceDE w:val="0"/>
              <w:autoSpaceDN w:val="0"/>
              <w:adjustRightInd w:val="0"/>
              <w:snapToGrid w:val="0"/>
              <w:jc w:val="center"/>
              <w:rPr>
                <w:rFonts w:cs="宋体"/>
                <w:color w:val="000000" w:themeColor="text1"/>
                <w:kern w:val="0"/>
              </w:rPr>
            </w:pPr>
            <w:r>
              <w:rPr>
                <w:rFonts w:hint="eastAsia" w:cs="宋体"/>
                <w:color w:val="000000" w:themeColor="text1"/>
                <w:kern w:val="0"/>
              </w:rPr>
              <w:t>近年完成的类似项目的年份要求</w:t>
            </w:r>
          </w:p>
        </w:tc>
        <w:tc>
          <w:tcPr>
            <w:tcW w:w="3160" w:type="pct"/>
            <w:vAlign w:val="center"/>
          </w:tcPr>
          <w:p w14:paraId="351C498C">
            <w:pPr>
              <w:widowControl/>
              <w:adjustRightInd w:val="0"/>
              <w:snapToGrid w:val="0"/>
              <w:rPr>
                <w:rFonts w:cs="宋体"/>
                <w:color w:val="000000" w:themeColor="text1"/>
              </w:rPr>
            </w:pPr>
            <w:r>
              <w:rPr>
                <w:rFonts w:hint="eastAsia" w:cs="宋体"/>
                <w:color w:val="000000" w:themeColor="text1"/>
              </w:rPr>
              <w:t>/</w:t>
            </w:r>
          </w:p>
        </w:tc>
      </w:tr>
      <w:tr w14:paraId="3930A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1EE9E82F">
            <w:pPr>
              <w:widowControl/>
              <w:adjustRightInd w:val="0"/>
              <w:snapToGrid w:val="0"/>
              <w:jc w:val="center"/>
              <w:rPr>
                <w:rFonts w:cs="宋体"/>
                <w:color w:val="000000" w:themeColor="text1"/>
              </w:rPr>
            </w:pPr>
            <w:r>
              <w:rPr>
                <w:rFonts w:hint="eastAsia" w:cs="宋体"/>
                <w:color w:val="000000" w:themeColor="text1"/>
                <w:kern w:val="0"/>
              </w:rPr>
              <w:t>3.6</w:t>
            </w:r>
          </w:p>
        </w:tc>
        <w:tc>
          <w:tcPr>
            <w:tcW w:w="937" w:type="pct"/>
            <w:vAlign w:val="center"/>
          </w:tcPr>
          <w:p w14:paraId="2A1D5EE5">
            <w:pPr>
              <w:widowControl/>
              <w:adjustRightInd w:val="0"/>
              <w:snapToGrid w:val="0"/>
              <w:jc w:val="center"/>
              <w:rPr>
                <w:rFonts w:cs="宋体"/>
                <w:color w:val="000000" w:themeColor="text1"/>
              </w:rPr>
            </w:pPr>
            <w:r>
              <w:rPr>
                <w:rFonts w:hint="eastAsia" w:cs="宋体"/>
                <w:color w:val="000000" w:themeColor="text1"/>
                <w:kern w:val="0"/>
              </w:rPr>
              <w:t>是否允许递交备选投标方案</w:t>
            </w:r>
          </w:p>
        </w:tc>
        <w:tc>
          <w:tcPr>
            <w:tcW w:w="3160" w:type="pct"/>
            <w:vAlign w:val="center"/>
          </w:tcPr>
          <w:p w14:paraId="623F8DA5">
            <w:pPr>
              <w:widowControl/>
              <w:adjustRightInd w:val="0"/>
              <w:snapToGrid w:val="0"/>
              <w:rPr>
                <w:color w:val="000000" w:themeColor="text1"/>
                <w:kern w:val="0"/>
              </w:rPr>
            </w:pPr>
            <w:r>
              <w:rPr>
                <w:rFonts w:hint="eastAsia"/>
                <w:color w:val="000000" w:themeColor="text1"/>
                <w:kern w:val="0"/>
              </w:rPr>
              <w:t>□允许</w:t>
            </w:r>
          </w:p>
          <w:p w14:paraId="741E8F23">
            <w:pPr>
              <w:widowControl/>
              <w:adjustRightInd w:val="0"/>
              <w:snapToGrid w:val="0"/>
              <w:rPr>
                <w:rFonts w:cs="宋体"/>
                <w:color w:val="000000" w:themeColor="text1"/>
                <w:u w:val="single"/>
              </w:rPr>
            </w:pPr>
            <w:r>
              <w:rPr>
                <w:rFonts w:hint="eastAsia"/>
                <w:color w:val="000000" w:themeColor="text1"/>
                <w:kern w:val="0"/>
              </w:rPr>
              <w:sym w:font="Wingdings 2" w:char="0052"/>
            </w:r>
            <w:r>
              <w:rPr>
                <w:rFonts w:hint="eastAsia"/>
                <w:color w:val="000000" w:themeColor="text1"/>
                <w:kern w:val="0"/>
              </w:rPr>
              <w:t>不允许</w:t>
            </w:r>
          </w:p>
        </w:tc>
      </w:tr>
      <w:tr w14:paraId="5D06A0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4F560A54">
            <w:pPr>
              <w:widowControl/>
              <w:adjustRightInd w:val="0"/>
              <w:snapToGrid w:val="0"/>
              <w:jc w:val="center"/>
              <w:rPr>
                <w:rFonts w:cs="宋体"/>
                <w:color w:val="000000" w:themeColor="text1"/>
              </w:rPr>
            </w:pPr>
            <w:r>
              <w:rPr>
                <w:rFonts w:hint="eastAsia" w:cs="宋体"/>
                <w:color w:val="000000" w:themeColor="text1"/>
                <w:kern w:val="0"/>
              </w:rPr>
              <w:t>3.7.4</w:t>
            </w:r>
          </w:p>
        </w:tc>
        <w:tc>
          <w:tcPr>
            <w:tcW w:w="937" w:type="pct"/>
            <w:vAlign w:val="center"/>
          </w:tcPr>
          <w:p w14:paraId="2A681D70">
            <w:pPr>
              <w:jc w:val="center"/>
              <w:rPr>
                <w:rFonts w:cs="宋体"/>
                <w:color w:val="000000" w:themeColor="text1"/>
              </w:rPr>
            </w:pPr>
            <w:r>
              <w:rPr>
                <w:rFonts w:hint="eastAsia" w:cs="宋体"/>
                <w:color w:val="000000" w:themeColor="text1"/>
              </w:rPr>
              <w:t>投标文件副本份数及其他要求</w:t>
            </w:r>
          </w:p>
        </w:tc>
        <w:tc>
          <w:tcPr>
            <w:tcW w:w="3160" w:type="pct"/>
            <w:vAlign w:val="center"/>
          </w:tcPr>
          <w:p w14:paraId="56C47379">
            <w:pPr>
              <w:pStyle w:val="18"/>
              <w:topLinePunct/>
              <w:ind w:firstLine="210" w:firstLineChars="100"/>
              <w:rPr>
                <w:rFonts w:ascii="Times New Roman"/>
                <w:color w:val="000000" w:themeColor="text1"/>
                <w:kern w:val="0"/>
                <w:sz w:val="21"/>
                <w:szCs w:val="21"/>
              </w:rPr>
            </w:pPr>
            <w:r>
              <w:rPr>
                <w:rFonts w:hint="eastAsia" w:ascii="Times New Roman"/>
                <w:color w:val="000000" w:themeColor="text1"/>
                <w:kern w:val="0"/>
                <w:sz w:val="21"/>
                <w:szCs w:val="21"/>
              </w:rPr>
              <w:t>须提供壹份正本，叁份副本，评标结果公示期满后，领取中标通知书前提供电子版投标文件（U盘一份），且必须保证与纸质版投标文件完全一致，电子文件不得设置密码并保证无病毒。</w:t>
            </w:r>
          </w:p>
          <w:p w14:paraId="3E150A59">
            <w:pPr>
              <w:pStyle w:val="18"/>
              <w:topLinePunct/>
              <w:ind w:firstLine="210" w:firstLineChars="100"/>
              <w:rPr>
                <w:rFonts w:ascii="Times New Roman"/>
                <w:color w:val="000000" w:themeColor="text1"/>
                <w:kern w:val="0"/>
                <w:sz w:val="21"/>
                <w:szCs w:val="21"/>
              </w:rPr>
            </w:pPr>
            <w:r>
              <w:rPr>
                <w:rFonts w:hint="eastAsia" w:ascii="Times New Roman"/>
                <w:color w:val="000000" w:themeColor="text1"/>
                <w:kern w:val="0"/>
                <w:sz w:val="21"/>
                <w:szCs w:val="21"/>
              </w:rPr>
              <w:t>全套投标文件应无修改和行间插字，如有修改，须在修改处由投标人法定代表人或代理人小签。</w:t>
            </w:r>
          </w:p>
        </w:tc>
      </w:tr>
      <w:tr w14:paraId="138209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0782992D">
            <w:pPr>
              <w:adjustRightInd w:val="0"/>
              <w:snapToGrid w:val="0"/>
              <w:jc w:val="center"/>
              <w:rPr>
                <w:rFonts w:cs="宋体"/>
                <w:color w:val="000000" w:themeColor="text1"/>
                <w:kern w:val="0"/>
              </w:rPr>
            </w:pPr>
            <w:r>
              <w:rPr>
                <w:color w:val="000000" w:themeColor="text1"/>
              </w:rPr>
              <w:t>3.7.5</w:t>
            </w:r>
          </w:p>
        </w:tc>
        <w:tc>
          <w:tcPr>
            <w:tcW w:w="937" w:type="pct"/>
            <w:vAlign w:val="center"/>
          </w:tcPr>
          <w:p w14:paraId="7A39B537">
            <w:pPr>
              <w:adjustRightInd w:val="0"/>
              <w:snapToGrid w:val="0"/>
              <w:jc w:val="center"/>
              <w:rPr>
                <w:rFonts w:cs="宋体"/>
                <w:color w:val="000000" w:themeColor="text1"/>
              </w:rPr>
            </w:pPr>
            <w:r>
              <w:rPr>
                <w:color w:val="000000" w:themeColor="text1"/>
              </w:rPr>
              <w:t>装订的其他要求</w:t>
            </w:r>
          </w:p>
        </w:tc>
        <w:tc>
          <w:tcPr>
            <w:tcW w:w="3160" w:type="pct"/>
            <w:vAlign w:val="center"/>
          </w:tcPr>
          <w:p w14:paraId="2C80C593">
            <w:pPr>
              <w:adjustRightInd w:val="0"/>
              <w:snapToGrid w:val="0"/>
              <w:rPr>
                <w:color w:val="000000" w:themeColor="text1"/>
              </w:rPr>
            </w:pPr>
            <w:r>
              <w:rPr>
                <w:b/>
                <w:color w:val="000000" w:themeColor="text1"/>
              </w:rPr>
              <w:t>投标文件应分正副本装订成册</w:t>
            </w:r>
            <w:r>
              <w:rPr>
                <w:color w:val="000000" w:themeColor="text1"/>
              </w:rPr>
              <w:t>，应编制目录，且逐页标注连续页码。投标文件不得采用活页夹装订。投标文件应编制目录，并标注页码，否则，招标人对由于投标文件装订松散而造成的丢失或其它后果不承担任何责任。每个篇章用彩色纸张隔离，以便查阅。</w:t>
            </w:r>
          </w:p>
        </w:tc>
      </w:tr>
      <w:tr w14:paraId="0EFD0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01" w:type="pct"/>
            <w:vAlign w:val="center"/>
          </w:tcPr>
          <w:p w14:paraId="4396E1DE">
            <w:pPr>
              <w:jc w:val="center"/>
              <w:rPr>
                <w:rFonts w:cs="宋体"/>
                <w:color w:val="000000" w:themeColor="text1"/>
                <w:kern w:val="0"/>
              </w:rPr>
            </w:pPr>
            <w:r>
              <w:rPr>
                <w:rFonts w:hint="eastAsia" w:ascii="宋体" w:hAnsi="宋体"/>
                <w:color w:val="000000" w:themeColor="text1"/>
              </w:rPr>
              <w:t>4.1.2</w:t>
            </w:r>
          </w:p>
        </w:tc>
        <w:tc>
          <w:tcPr>
            <w:tcW w:w="937" w:type="pct"/>
            <w:vAlign w:val="center"/>
          </w:tcPr>
          <w:p w14:paraId="7729C1F2">
            <w:pPr>
              <w:jc w:val="center"/>
              <w:rPr>
                <w:rFonts w:cs="宋体"/>
                <w:color w:val="000000" w:themeColor="text1"/>
              </w:rPr>
            </w:pPr>
            <w:r>
              <w:rPr>
                <w:rFonts w:hint="eastAsia"/>
                <w:color w:val="000000" w:themeColor="text1"/>
              </w:rPr>
              <w:t>封套上写明</w:t>
            </w:r>
          </w:p>
        </w:tc>
        <w:tc>
          <w:tcPr>
            <w:tcW w:w="3160" w:type="pct"/>
            <w:vAlign w:val="center"/>
          </w:tcPr>
          <w:p w14:paraId="4307F352">
            <w:pPr>
              <w:rPr>
                <w:rFonts w:ascii="宋体" w:hAnsi="宋体"/>
                <w:color w:val="000000" w:themeColor="text1"/>
              </w:rPr>
            </w:pPr>
            <w:r>
              <w:rPr>
                <w:rFonts w:hint="eastAsia" w:ascii="宋体" w:hAnsi="宋体"/>
                <w:color w:val="000000" w:themeColor="text1"/>
              </w:rPr>
              <w:t>投标文件第一信封(商务文件)封套：</w:t>
            </w:r>
          </w:p>
          <w:p w14:paraId="17474D37">
            <w:pPr>
              <w:rPr>
                <w:rFonts w:ascii="宋体" w:hAnsi="宋体"/>
                <w:color w:val="000000" w:themeColor="text1"/>
              </w:rPr>
            </w:pPr>
            <w:r>
              <w:rPr>
                <w:rFonts w:hint="eastAsia" w:ascii="宋体" w:hAnsi="宋体"/>
                <w:color w:val="000000" w:themeColor="text1"/>
              </w:rPr>
              <w:t>招标人名称：__________________</w:t>
            </w:r>
          </w:p>
          <w:p w14:paraId="46A170AD">
            <w:pPr>
              <w:rPr>
                <w:rFonts w:ascii="宋体" w:hAnsi="宋体"/>
                <w:color w:val="000000" w:themeColor="text1"/>
              </w:rPr>
            </w:pPr>
            <w:r>
              <w:rPr>
                <w:rFonts w:hint="eastAsia" w:ascii="宋体" w:hAnsi="宋体"/>
                <w:color w:val="000000" w:themeColor="text1"/>
              </w:rPr>
              <w:t>招标人地址：__________________</w:t>
            </w:r>
          </w:p>
          <w:p w14:paraId="5193C26C">
            <w:pPr>
              <w:rPr>
                <w:rFonts w:ascii="宋体" w:hAnsi="宋体"/>
                <w:color w:val="000000" w:themeColor="text1"/>
              </w:rPr>
            </w:pPr>
            <w:r>
              <w:rPr>
                <w:rFonts w:hint="eastAsia" w:ascii="宋体" w:hAnsi="宋体"/>
                <w:color w:val="000000" w:themeColor="text1"/>
              </w:rPr>
              <w:t>______(项目名称)_______标段第一信封(商务文件)投标文件</w:t>
            </w:r>
          </w:p>
          <w:p w14:paraId="7003CC24">
            <w:pPr>
              <w:rPr>
                <w:rFonts w:ascii="宋体" w:hAnsi="宋体"/>
                <w:color w:val="000000" w:themeColor="text1"/>
              </w:rPr>
            </w:pPr>
            <w:r>
              <w:rPr>
                <w:rFonts w:hint="eastAsia" w:ascii="宋体" w:hAnsi="宋体"/>
                <w:color w:val="000000" w:themeColor="text1"/>
              </w:rPr>
              <w:t>在_____年_____月_____日_____时_____分前不得开启</w:t>
            </w:r>
          </w:p>
          <w:p w14:paraId="729DA73D">
            <w:pPr>
              <w:rPr>
                <w:rFonts w:ascii="宋体" w:hAnsi="宋体"/>
                <w:color w:val="000000" w:themeColor="text1"/>
              </w:rPr>
            </w:pPr>
            <w:r>
              <w:rPr>
                <w:rFonts w:hint="eastAsia" w:ascii="宋体" w:hAnsi="宋体"/>
                <w:color w:val="000000" w:themeColor="text1"/>
              </w:rPr>
              <w:t>投标人名称：__________________</w:t>
            </w:r>
          </w:p>
          <w:p w14:paraId="366ECE23">
            <w:pPr>
              <w:rPr>
                <w:rFonts w:ascii="宋体" w:hAnsi="宋体"/>
                <w:color w:val="000000" w:themeColor="text1"/>
              </w:rPr>
            </w:pPr>
          </w:p>
          <w:p w14:paraId="25DABD8E">
            <w:pPr>
              <w:rPr>
                <w:rFonts w:ascii="宋体" w:hAnsi="宋体"/>
                <w:color w:val="000000" w:themeColor="text1"/>
              </w:rPr>
            </w:pPr>
            <w:r>
              <w:rPr>
                <w:rFonts w:hint="eastAsia" w:ascii="宋体" w:hAnsi="宋体"/>
                <w:color w:val="000000" w:themeColor="text1"/>
              </w:rPr>
              <w:t>投标文件第二信封(报价文件)封套：</w:t>
            </w:r>
          </w:p>
          <w:p w14:paraId="31C7EBCA">
            <w:pPr>
              <w:rPr>
                <w:rFonts w:ascii="宋体" w:hAnsi="宋体"/>
                <w:color w:val="000000" w:themeColor="text1"/>
              </w:rPr>
            </w:pPr>
            <w:r>
              <w:rPr>
                <w:rFonts w:hint="eastAsia" w:ascii="宋体" w:hAnsi="宋体"/>
                <w:color w:val="000000" w:themeColor="text1"/>
              </w:rPr>
              <w:t>招标人名称：__________________</w:t>
            </w:r>
          </w:p>
          <w:p w14:paraId="29EE7446">
            <w:pPr>
              <w:rPr>
                <w:rFonts w:ascii="宋体" w:hAnsi="宋体"/>
                <w:color w:val="000000" w:themeColor="text1"/>
              </w:rPr>
            </w:pPr>
            <w:r>
              <w:rPr>
                <w:rFonts w:hint="eastAsia" w:ascii="宋体" w:hAnsi="宋体"/>
                <w:color w:val="000000" w:themeColor="text1"/>
              </w:rPr>
              <w:t>招标人地址：__________________</w:t>
            </w:r>
          </w:p>
          <w:p w14:paraId="2A5FDE05">
            <w:pPr>
              <w:rPr>
                <w:rFonts w:ascii="宋体" w:hAnsi="宋体"/>
                <w:color w:val="000000" w:themeColor="text1"/>
              </w:rPr>
            </w:pPr>
            <w:r>
              <w:rPr>
                <w:rFonts w:hint="eastAsia" w:ascii="宋体" w:hAnsi="宋体"/>
                <w:color w:val="000000" w:themeColor="text1"/>
              </w:rPr>
              <w:t>______(项目名称)_______标段第二信封(报价文件)投标文件</w:t>
            </w:r>
          </w:p>
          <w:p w14:paraId="0CA2194A">
            <w:pPr>
              <w:rPr>
                <w:rFonts w:ascii="宋体" w:hAnsi="宋体"/>
                <w:color w:val="000000" w:themeColor="text1"/>
              </w:rPr>
            </w:pPr>
            <w:r>
              <w:rPr>
                <w:rFonts w:hint="eastAsia" w:ascii="宋体" w:hAnsi="宋体"/>
                <w:color w:val="000000" w:themeColor="text1"/>
              </w:rPr>
              <w:t>在投标文件第二信封(报价文件)开标前不得开启</w:t>
            </w:r>
          </w:p>
          <w:p w14:paraId="2685F58A">
            <w:pPr>
              <w:rPr>
                <w:rFonts w:ascii="宋体" w:hAnsi="宋体"/>
                <w:color w:val="000000" w:themeColor="text1"/>
              </w:rPr>
            </w:pPr>
            <w:r>
              <w:rPr>
                <w:rFonts w:hint="eastAsia" w:ascii="宋体" w:hAnsi="宋体"/>
                <w:color w:val="000000" w:themeColor="text1"/>
              </w:rPr>
              <w:t>投标人名称：__________________</w:t>
            </w:r>
          </w:p>
          <w:p w14:paraId="52C3A052">
            <w:pPr>
              <w:rPr>
                <w:color w:val="000000" w:themeColor="text1"/>
              </w:rPr>
            </w:pPr>
            <w:r>
              <w:rPr>
                <w:rFonts w:hint="eastAsia" w:ascii="宋体" w:hAnsi="宋体"/>
                <w:color w:val="000000" w:themeColor="text1"/>
              </w:rPr>
              <w:t>投标人地址：__________________</w:t>
            </w:r>
          </w:p>
        </w:tc>
      </w:tr>
      <w:tr w14:paraId="5A6AF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02ADE71F">
            <w:pPr>
              <w:adjustRightInd w:val="0"/>
              <w:snapToGrid w:val="0"/>
              <w:jc w:val="center"/>
              <w:rPr>
                <w:rFonts w:cs="宋体"/>
                <w:color w:val="000000" w:themeColor="text1"/>
                <w:kern w:val="0"/>
              </w:rPr>
            </w:pPr>
            <w:r>
              <w:rPr>
                <w:color w:val="000000" w:themeColor="text1"/>
              </w:rPr>
              <w:t>4.2.2</w:t>
            </w:r>
          </w:p>
        </w:tc>
        <w:tc>
          <w:tcPr>
            <w:tcW w:w="937" w:type="pct"/>
            <w:vAlign w:val="center"/>
          </w:tcPr>
          <w:p w14:paraId="172DE6AB">
            <w:pPr>
              <w:adjustRightInd w:val="0"/>
              <w:snapToGrid w:val="0"/>
              <w:jc w:val="center"/>
              <w:rPr>
                <w:rFonts w:cs="宋体"/>
                <w:color w:val="000000" w:themeColor="text1"/>
              </w:rPr>
            </w:pPr>
            <w:r>
              <w:rPr>
                <w:color w:val="000000" w:themeColor="text1"/>
              </w:rPr>
              <w:t>递交投标文件地点</w:t>
            </w:r>
          </w:p>
        </w:tc>
        <w:tc>
          <w:tcPr>
            <w:tcW w:w="3160" w:type="pct"/>
            <w:vAlign w:val="center"/>
          </w:tcPr>
          <w:p w14:paraId="678D567D">
            <w:pPr>
              <w:rPr>
                <w:color w:val="000000" w:themeColor="text1"/>
              </w:rPr>
            </w:pPr>
            <w:r>
              <w:rPr>
                <w:rFonts w:hint="eastAsia" w:ascii="宋体" w:hAnsi="宋体"/>
                <w:color w:val="000000" w:themeColor="text1"/>
                <w:kern w:val="0"/>
              </w:rPr>
              <w:t>详见招标公告及补遗书（若有）</w:t>
            </w:r>
          </w:p>
        </w:tc>
      </w:tr>
      <w:tr w14:paraId="6B8C17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0CE5BD6D">
            <w:pPr>
              <w:widowControl/>
              <w:adjustRightInd w:val="0"/>
              <w:snapToGrid w:val="0"/>
              <w:jc w:val="center"/>
              <w:rPr>
                <w:rFonts w:cs="宋体"/>
                <w:color w:val="000000" w:themeColor="text1"/>
                <w:kern w:val="0"/>
              </w:rPr>
            </w:pPr>
            <w:r>
              <w:rPr>
                <w:rFonts w:hint="eastAsia" w:cs="宋体"/>
                <w:color w:val="000000" w:themeColor="text1"/>
                <w:kern w:val="0"/>
              </w:rPr>
              <w:t>5.1</w:t>
            </w:r>
          </w:p>
        </w:tc>
        <w:tc>
          <w:tcPr>
            <w:tcW w:w="937" w:type="pct"/>
            <w:vAlign w:val="center"/>
          </w:tcPr>
          <w:p w14:paraId="4415A449">
            <w:pPr>
              <w:widowControl/>
              <w:adjustRightInd w:val="0"/>
              <w:snapToGrid w:val="0"/>
              <w:jc w:val="center"/>
              <w:rPr>
                <w:rFonts w:cs="宋体"/>
                <w:color w:val="000000" w:themeColor="text1"/>
              </w:rPr>
            </w:pPr>
            <w:r>
              <w:rPr>
                <w:rFonts w:hint="eastAsia" w:cs="宋体"/>
                <w:color w:val="000000" w:themeColor="text1"/>
                <w:kern w:val="0"/>
              </w:rPr>
              <w:t>开标时间和地点</w:t>
            </w:r>
          </w:p>
        </w:tc>
        <w:tc>
          <w:tcPr>
            <w:tcW w:w="3160" w:type="pct"/>
            <w:vAlign w:val="center"/>
          </w:tcPr>
          <w:p w14:paraId="61E3B9F9">
            <w:pPr>
              <w:widowControl/>
              <w:adjustRightInd w:val="0"/>
              <w:snapToGrid w:val="0"/>
              <w:rPr>
                <w:rFonts w:cs="宋体"/>
                <w:color w:val="000000" w:themeColor="text1"/>
                <w:kern w:val="0"/>
              </w:rPr>
            </w:pPr>
            <w:r>
              <w:rPr>
                <w:rFonts w:hint="eastAsia" w:cs="宋体"/>
                <w:color w:val="000000" w:themeColor="text1"/>
              </w:rPr>
              <w:t>详见招标公告及补遗书。</w:t>
            </w:r>
          </w:p>
        </w:tc>
      </w:tr>
      <w:tr w14:paraId="3BF0B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3C697BC6">
            <w:pPr>
              <w:widowControl/>
              <w:adjustRightInd w:val="0"/>
              <w:snapToGrid w:val="0"/>
              <w:jc w:val="center"/>
              <w:rPr>
                <w:rFonts w:cs="宋体"/>
                <w:color w:val="000000" w:themeColor="text1"/>
              </w:rPr>
            </w:pPr>
            <w:r>
              <w:rPr>
                <w:rFonts w:hint="eastAsia" w:cs="宋体"/>
                <w:color w:val="000000" w:themeColor="text1"/>
                <w:kern w:val="0"/>
              </w:rPr>
              <w:t>5.2.1</w:t>
            </w:r>
          </w:p>
        </w:tc>
        <w:tc>
          <w:tcPr>
            <w:tcW w:w="937" w:type="pct"/>
            <w:vAlign w:val="center"/>
          </w:tcPr>
          <w:p w14:paraId="5FD415CE">
            <w:pPr>
              <w:widowControl/>
              <w:adjustRightInd w:val="0"/>
              <w:snapToGrid w:val="0"/>
              <w:jc w:val="center"/>
              <w:rPr>
                <w:rFonts w:cs="宋体"/>
                <w:color w:val="000000" w:themeColor="text1"/>
              </w:rPr>
            </w:pPr>
            <w:r>
              <w:rPr>
                <w:rFonts w:hint="eastAsia" w:cs="宋体"/>
                <w:color w:val="000000" w:themeColor="text1"/>
                <w:kern w:val="0"/>
              </w:rPr>
              <w:t>开标程序</w:t>
            </w:r>
          </w:p>
        </w:tc>
        <w:tc>
          <w:tcPr>
            <w:tcW w:w="3160" w:type="pct"/>
            <w:vAlign w:val="center"/>
          </w:tcPr>
          <w:p w14:paraId="609AE4EC">
            <w:pPr>
              <w:widowControl/>
              <w:adjustRightInd w:val="0"/>
              <w:snapToGrid w:val="0"/>
              <w:rPr>
                <w:rFonts w:cs="宋体"/>
                <w:color w:val="000000" w:themeColor="text1"/>
                <w:kern w:val="0"/>
              </w:rPr>
            </w:pPr>
            <w:r>
              <w:rPr>
                <w:rFonts w:hint="eastAsia" w:cs="宋体"/>
                <w:color w:val="000000" w:themeColor="text1"/>
                <w:kern w:val="0"/>
              </w:rPr>
              <w:t>（1）密封情况检查：</w:t>
            </w:r>
          </w:p>
          <w:p w14:paraId="40AB07FC">
            <w:pPr>
              <w:widowControl/>
              <w:adjustRightInd w:val="0"/>
              <w:snapToGrid w:val="0"/>
              <w:rPr>
                <w:rFonts w:cs="宋体"/>
                <w:color w:val="000000" w:themeColor="text1"/>
                <w:kern w:val="0"/>
              </w:rPr>
            </w:pPr>
            <w:r>
              <w:rPr>
                <w:rFonts w:hint="eastAsia" w:cs="宋体"/>
                <w:color w:val="000000" w:themeColor="text1"/>
                <w:kern w:val="0"/>
              </w:rPr>
              <w:t>由□行政监督部门□公证部门</w:t>
            </w:r>
            <w:r>
              <w:rPr>
                <w:rFonts w:hint="eastAsia" w:cs="宋体"/>
                <w:color w:val="000000" w:themeColor="text1"/>
                <w:kern w:val="0"/>
              </w:rPr>
              <w:sym w:font="Wingdings 2" w:char="0052"/>
            </w:r>
            <w:r>
              <w:rPr>
                <w:rFonts w:hint="eastAsia" w:cs="宋体"/>
                <w:color w:val="000000" w:themeColor="text1"/>
                <w:kern w:val="0"/>
              </w:rPr>
              <w:t>投标人的代表按照4.1款规定检查投标文件的密封情况；</w:t>
            </w:r>
          </w:p>
          <w:p w14:paraId="0DEA383F">
            <w:pPr>
              <w:widowControl/>
              <w:adjustRightInd w:val="0"/>
              <w:snapToGrid w:val="0"/>
              <w:rPr>
                <w:rFonts w:cs="宋体"/>
                <w:color w:val="000000" w:themeColor="text1"/>
                <w:kern w:val="0"/>
              </w:rPr>
            </w:pPr>
            <w:r>
              <w:rPr>
                <w:rFonts w:hint="eastAsia" w:cs="宋体"/>
                <w:color w:val="000000" w:themeColor="text1"/>
                <w:kern w:val="0"/>
              </w:rPr>
              <w:t>（2）投标人的法定代表人或其委托代理人不参加开标的，视同该投标人承认开标记录，不得事后对开标程序和记录提出任何异议；</w:t>
            </w:r>
          </w:p>
          <w:p w14:paraId="22CF0D74">
            <w:pPr>
              <w:widowControl/>
              <w:adjustRightInd w:val="0"/>
              <w:snapToGrid w:val="0"/>
              <w:rPr>
                <w:rFonts w:cs="宋体"/>
                <w:color w:val="000000" w:themeColor="text1"/>
                <w:kern w:val="0"/>
              </w:rPr>
            </w:pPr>
            <w:r>
              <w:rPr>
                <w:rFonts w:hint="eastAsia" w:cs="宋体"/>
                <w:color w:val="000000" w:themeColor="text1"/>
                <w:kern w:val="0"/>
              </w:rPr>
              <w:t>（3）开标顺序：随机</w:t>
            </w:r>
          </w:p>
        </w:tc>
      </w:tr>
      <w:tr w14:paraId="5BD47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 w:hRule="atLeast"/>
        </w:trPr>
        <w:tc>
          <w:tcPr>
            <w:tcW w:w="901" w:type="pct"/>
            <w:vAlign w:val="center"/>
          </w:tcPr>
          <w:p w14:paraId="19817E1B">
            <w:pPr>
              <w:widowControl/>
              <w:adjustRightInd w:val="0"/>
              <w:snapToGrid w:val="0"/>
              <w:jc w:val="center"/>
              <w:rPr>
                <w:rFonts w:cs="宋体"/>
                <w:color w:val="000000" w:themeColor="text1"/>
              </w:rPr>
            </w:pPr>
            <w:r>
              <w:rPr>
                <w:rFonts w:hint="eastAsia" w:cs="宋体"/>
                <w:color w:val="000000" w:themeColor="text1"/>
                <w:kern w:val="0"/>
              </w:rPr>
              <w:t>6.1.1</w:t>
            </w:r>
          </w:p>
        </w:tc>
        <w:tc>
          <w:tcPr>
            <w:tcW w:w="937" w:type="pct"/>
            <w:vAlign w:val="center"/>
          </w:tcPr>
          <w:p w14:paraId="7B5D1046">
            <w:pPr>
              <w:widowControl/>
              <w:adjustRightInd w:val="0"/>
              <w:snapToGrid w:val="0"/>
              <w:jc w:val="center"/>
              <w:rPr>
                <w:rFonts w:cs="宋体"/>
                <w:color w:val="000000" w:themeColor="text1"/>
              </w:rPr>
            </w:pPr>
            <w:r>
              <w:rPr>
                <w:rFonts w:hint="eastAsia" w:cs="宋体"/>
                <w:color w:val="000000" w:themeColor="text1"/>
                <w:kern w:val="0"/>
              </w:rPr>
              <w:t>评标委员会的组建</w:t>
            </w:r>
          </w:p>
        </w:tc>
        <w:tc>
          <w:tcPr>
            <w:tcW w:w="3160" w:type="pct"/>
            <w:vAlign w:val="center"/>
          </w:tcPr>
          <w:p w14:paraId="71A23C29">
            <w:pPr>
              <w:widowControl/>
              <w:adjustRightInd w:val="0"/>
              <w:snapToGrid w:val="0"/>
              <w:rPr>
                <w:rFonts w:cs="宋体"/>
                <w:color w:val="000000" w:themeColor="text1"/>
                <w:kern w:val="0"/>
              </w:rPr>
            </w:pPr>
            <w:r>
              <w:rPr>
                <w:rFonts w:hint="eastAsia" w:cs="宋体"/>
                <w:color w:val="000000" w:themeColor="text1"/>
                <w:kern w:val="0"/>
              </w:rPr>
              <w:t>评标委员会构成：3人或3人以上单数；</w:t>
            </w:r>
          </w:p>
        </w:tc>
      </w:tr>
      <w:tr w14:paraId="0B935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9" w:hRule="atLeast"/>
        </w:trPr>
        <w:tc>
          <w:tcPr>
            <w:tcW w:w="901" w:type="pct"/>
            <w:vAlign w:val="center"/>
          </w:tcPr>
          <w:p w14:paraId="77AEBF8D">
            <w:pPr>
              <w:widowControl/>
              <w:adjustRightInd w:val="0"/>
              <w:snapToGrid w:val="0"/>
              <w:jc w:val="center"/>
              <w:rPr>
                <w:rFonts w:cs="宋体"/>
                <w:color w:val="000000" w:themeColor="text1"/>
                <w:kern w:val="0"/>
              </w:rPr>
            </w:pPr>
            <w:r>
              <w:rPr>
                <w:rFonts w:hint="eastAsia" w:cs="宋体"/>
                <w:color w:val="000000" w:themeColor="text1"/>
                <w:kern w:val="0"/>
              </w:rPr>
              <w:t>6.3.2</w:t>
            </w:r>
          </w:p>
        </w:tc>
        <w:tc>
          <w:tcPr>
            <w:tcW w:w="937" w:type="pct"/>
            <w:vAlign w:val="center"/>
          </w:tcPr>
          <w:p w14:paraId="171E70E8">
            <w:pPr>
              <w:widowControl/>
              <w:adjustRightInd w:val="0"/>
              <w:snapToGrid w:val="0"/>
              <w:jc w:val="center"/>
              <w:rPr>
                <w:rFonts w:cs="宋体"/>
                <w:color w:val="000000" w:themeColor="text1"/>
                <w:kern w:val="0"/>
              </w:rPr>
            </w:pPr>
            <w:r>
              <w:rPr>
                <w:rFonts w:hint="eastAsia" w:cs="宋体"/>
                <w:color w:val="000000" w:themeColor="text1"/>
                <w:kern w:val="0"/>
              </w:rPr>
              <w:t>评标委员会推荐中标候选人的人数</w:t>
            </w:r>
          </w:p>
        </w:tc>
        <w:tc>
          <w:tcPr>
            <w:tcW w:w="3160" w:type="pct"/>
            <w:vAlign w:val="center"/>
          </w:tcPr>
          <w:p w14:paraId="370A577D">
            <w:pPr>
              <w:widowControl/>
              <w:adjustRightInd w:val="0"/>
              <w:snapToGrid w:val="0"/>
              <w:rPr>
                <w:rFonts w:cs="宋体"/>
                <w:color w:val="000000" w:themeColor="text1"/>
              </w:rPr>
            </w:pPr>
            <w:r>
              <w:rPr>
                <w:rFonts w:hint="eastAsia" w:cs="宋体"/>
                <w:color w:val="000000" w:themeColor="text1"/>
              </w:rPr>
              <w:t>评标委员会推荐的中标候选人的数量为</w:t>
            </w:r>
            <w:r>
              <w:rPr>
                <w:color w:val="000000" w:themeColor="text1"/>
              </w:rPr>
              <w:t>3</w:t>
            </w:r>
            <w:r>
              <w:rPr>
                <w:rFonts w:hint="eastAsia" w:cs="宋体"/>
                <w:color w:val="000000" w:themeColor="text1"/>
              </w:rPr>
              <w:t>家，若有效投标人不足</w:t>
            </w:r>
            <w:r>
              <w:rPr>
                <w:color w:val="000000" w:themeColor="text1"/>
              </w:rPr>
              <w:t>3</w:t>
            </w:r>
            <w:r>
              <w:rPr>
                <w:rFonts w:hint="eastAsia" w:cs="宋体"/>
                <w:color w:val="000000" w:themeColor="text1"/>
              </w:rPr>
              <w:t>家的，则推荐的中标候选人的数量为有效投标人的数量</w:t>
            </w:r>
          </w:p>
        </w:tc>
      </w:tr>
      <w:tr w14:paraId="19BA21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9" w:hRule="atLeast"/>
        </w:trPr>
        <w:tc>
          <w:tcPr>
            <w:tcW w:w="901" w:type="pct"/>
            <w:vAlign w:val="center"/>
          </w:tcPr>
          <w:p w14:paraId="417B73AE">
            <w:pPr>
              <w:widowControl/>
              <w:adjustRightInd w:val="0"/>
              <w:snapToGrid w:val="0"/>
              <w:jc w:val="center"/>
              <w:rPr>
                <w:rFonts w:cs="宋体"/>
                <w:color w:val="000000" w:themeColor="text1"/>
              </w:rPr>
            </w:pPr>
            <w:r>
              <w:rPr>
                <w:rFonts w:hint="eastAsia" w:cs="宋体"/>
                <w:color w:val="000000" w:themeColor="text1"/>
                <w:kern w:val="0"/>
              </w:rPr>
              <w:t>7.4</w:t>
            </w:r>
          </w:p>
        </w:tc>
        <w:tc>
          <w:tcPr>
            <w:tcW w:w="937" w:type="pct"/>
            <w:vAlign w:val="center"/>
          </w:tcPr>
          <w:p w14:paraId="135DC1B7">
            <w:pPr>
              <w:autoSpaceDE w:val="0"/>
              <w:autoSpaceDN w:val="0"/>
              <w:adjustRightInd w:val="0"/>
              <w:snapToGrid w:val="0"/>
              <w:jc w:val="center"/>
              <w:rPr>
                <w:rFonts w:cs="宋体"/>
                <w:color w:val="000000" w:themeColor="text1"/>
                <w:kern w:val="0"/>
              </w:rPr>
            </w:pPr>
            <w:r>
              <w:rPr>
                <w:rFonts w:hint="eastAsia" w:cs="宋体"/>
                <w:color w:val="000000" w:themeColor="text1"/>
                <w:kern w:val="0"/>
              </w:rPr>
              <w:t>是否授权评标委员会确定中标人</w:t>
            </w:r>
          </w:p>
        </w:tc>
        <w:tc>
          <w:tcPr>
            <w:tcW w:w="3160" w:type="pct"/>
            <w:vAlign w:val="center"/>
          </w:tcPr>
          <w:p w14:paraId="6202216E">
            <w:pPr>
              <w:widowControl/>
              <w:adjustRightInd w:val="0"/>
              <w:snapToGrid w:val="0"/>
              <w:rPr>
                <w:color w:val="000000" w:themeColor="text1"/>
              </w:rPr>
            </w:pPr>
            <w:r>
              <w:rPr>
                <w:rFonts w:hint="eastAsia"/>
                <w:color w:val="000000" w:themeColor="text1"/>
              </w:rPr>
              <w:t>□是</w:t>
            </w:r>
          </w:p>
          <w:p w14:paraId="3A300C04">
            <w:pPr>
              <w:widowControl/>
              <w:adjustRightInd w:val="0"/>
              <w:snapToGrid w:val="0"/>
              <w:rPr>
                <w:color w:val="000000" w:themeColor="text1"/>
              </w:rPr>
            </w:pPr>
            <w:r>
              <w:rPr>
                <w:rFonts w:hint="eastAsia"/>
                <w:color w:val="000000" w:themeColor="text1"/>
              </w:rPr>
              <w:sym w:font="Wingdings 2" w:char="0052"/>
            </w:r>
            <w:r>
              <w:rPr>
                <w:rFonts w:hint="eastAsia"/>
                <w:color w:val="000000" w:themeColor="text1"/>
              </w:rPr>
              <w:t xml:space="preserve">否 </w:t>
            </w:r>
          </w:p>
        </w:tc>
      </w:tr>
      <w:tr w14:paraId="378F0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 w:type="pct"/>
            <w:vAlign w:val="center"/>
          </w:tcPr>
          <w:p w14:paraId="2D8C71BD">
            <w:pPr>
              <w:widowControl/>
              <w:adjustRightInd w:val="0"/>
              <w:snapToGrid w:val="0"/>
              <w:jc w:val="center"/>
              <w:rPr>
                <w:rFonts w:cs="宋体"/>
                <w:color w:val="000000" w:themeColor="text1"/>
                <w:kern w:val="0"/>
              </w:rPr>
            </w:pPr>
            <w:r>
              <w:rPr>
                <w:rFonts w:hint="eastAsia" w:cs="宋体"/>
                <w:color w:val="000000" w:themeColor="text1"/>
                <w:kern w:val="0"/>
              </w:rPr>
              <w:t>7.5</w:t>
            </w:r>
          </w:p>
        </w:tc>
        <w:tc>
          <w:tcPr>
            <w:tcW w:w="937" w:type="pct"/>
            <w:vAlign w:val="center"/>
          </w:tcPr>
          <w:p w14:paraId="288DF612">
            <w:pPr>
              <w:autoSpaceDE w:val="0"/>
              <w:autoSpaceDN w:val="0"/>
              <w:adjustRightInd w:val="0"/>
              <w:snapToGrid w:val="0"/>
              <w:jc w:val="center"/>
              <w:rPr>
                <w:rFonts w:cs="宋体"/>
                <w:color w:val="000000" w:themeColor="text1"/>
                <w:kern w:val="0"/>
              </w:rPr>
            </w:pPr>
            <w:r>
              <w:rPr>
                <w:rFonts w:hint="eastAsia" w:cs="宋体"/>
                <w:color w:val="000000" w:themeColor="text1"/>
                <w:kern w:val="0"/>
              </w:rPr>
              <w:t>中标通知书和中标结果通知发出的形式</w:t>
            </w:r>
          </w:p>
        </w:tc>
        <w:tc>
          <w:tcPr>
            <w:tcW w:w="3160" w:type="pct"/>
            <w:vAlign w:val="center"/>
          </w:tcPr>
          <w:p w14:paraId="089B9089">
            <w:pPr>
              <w:widowControl/>
              <w:adjustRightInd w:val="0"/>
              <w:snapToGrid w:val="0"/>
              <w:rPr>
                <w:color w:val="000000" w:themeColor="text1"/>
              </w:rPr>
            </w:pPr>
            <w:r>
              <w:rPr>
                <w:rFonts w:hint="eastAsia"/>
                <w:color w:val="000000" w:themeColor="text1"/>
              </w:rPr>
              <w:t>1.中标通知书发出的形式：以传真或电子邮件的形式将中标通知书扫描件发送给中标人，中标通知书原件由中标人自行至招标人处领取。</w:t>
            </w:r>
          </w:p>
          <w:p w14:paraId="6BFBB926">
            <w:pPr>
              <w:widowControl/>
              <w:adjustRightInd w:val="0"/>
              <w:snapToGrid w:val="0"/>
              <w:rPr>
                <w:rFonts w:cs="宋体"/>
                <w:color w:val="000000" w:themeColor="text1"/>
              </w:rPr>
            </w:pPr>
            <w:r>
              <w:rPr>
                <w:rFonts w:hint="eastAsia"/>
                <w:color w:val="000000" w:themeColor="text1"/>
              </w:rPr>
              <w:t>2.中标结果通知发出的形式：以传真或电子邮件的形式将中标结果通知扫描件发送给未中标的投标人。</w:t>
            </w:r>
          </w:p>
        </w:tc>
      </w:tr>
      <w:tr w14:paraId="32AAE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8" w:hRule="atLeast"/>
        </w:trPr>
        <w:tc>
          <w:tcPr>
            <w:tcW w:w="901" w:type="pct"/>
            <w:vAlign w:val="center"/>
          </w:tcPr>
          <w:p w14:paraId="71D93154">
            <w:pPr>
              <w:widowControl/>
              <w:adjustRightInd w:val="0"/>
              <w:snapToGrid w:val="0"/>
              <w:jc w:val="center"/>
              <w:rPr>
                <w:rFonts w:cs="宋体"/>
                <w:color w:val="000000" w:themeColor="text1"/>
              </w:rPr>
            </w:pPr>
            <w:r>
              <w:rPr>
                <w:rFonts w:hint="eastAsia" w:cs="宋体"/>
                <w:color w:val="000000" w:themeColor="text1"/>
                <w:kern w:val="0"/>
              </w:rPr>
              <w:t>7.7.1</w:t>
            </w:r>
          </w:p>
        </w:tc>
        <w:tc>
          <w:tcPr>
            <w:tcW w:w="937" w:type="pct"/>
            <w:vAlign w:val="center"/>
          </w:tcPr>
          <w:p w14:paraId="4E5AFC49">
            <w:pPr>
              <w:widowControl/>
              <w:adjustRightInd w:val="0"/>
              <w:snapToGrid w:val="0"/>
              <w:jc w:val="center"/>
              <w:rPr>
                <w:rFonts w:cs="宋体"/>
                <w:color w:val="000000" w:themeColor="text1"/>
              </w:rPr>
            </w:pPr>
            <w:r>
              <w:rPr>
                <w:rFonts w:hint="eastAsia" w:cs="宋体"/>
                <w:color w:val="000000" w:themeColor="text1"/>
                <w:kern w:val="0"/>
              </w:rPr>
              <w:t>履约保证金</w:t>
            </w:r>
          </w:p>
        </w:tc>
        <w:tc>
          <w:tcPr>
            <w:tcW w:w="3160" w:type="pct"/>
            <w:vAlign w:val="center"/>
          </w:tcPr>
          <w:p w14:paraId="235B436A">
            <w:pPr>
              <w:widowControl/>
              <w:adjustRightInd w:val="0"/>
              <w:snapToGrid w:val="0"/>
              <w:rPr>
                <w:color w:val="000000" w:themeColor="text1"/>
                <w:lang w:val="zh-CN"/>
              </w:rPr>
            </w:pPr>
            <w:r>
              <w:rPr>
                <w:rFonts w:hint="eastAsia"/>
                <w:color w:val="000000" w:themeColor="text1"/>
                <w:lang w:val="zh-CN"/>
              </w:rPr>
              <w:t>是否要求中标人提交履约保证金：</w:t>
            </w:r>
          </w:p>
          <w:p w14:paraId="4DA40BC7">
            <w:pPr>
              <w:widowControl/>
              <w:adjustRightInd w:val="0"/>
              <w:snapToGrid w:val="0"/>
              <w:rPr>
                <w:lang w:val="zh-CN"/>
              </w:rPr>
            </w:pPr>
            <w:r>
              <w:rPr>
                <w:rFonts w:hint="eastAsia"/>
                <w:lang w:val="zh-CN"/>
              </w:rPr>
              <w:sym w:font="Wingdings 2" w:char="0052"/>
            </w:r>
            <w:r>
              <w:rPr>
                <w:rFonts w:hint="eastAsia"/>
                <w:lang w:val="zh-CN"/>
              </w:rPr>
              <w:t>要求，履约保证金的形式：不限</w:t>
            </w:r>
          </w:p>
          <w:p w14:paraId="6FA8346D">
            <w:pPr>
              <w:widowControl/>
              <w:adjustRightInd w:val="0"/>
              <w:snapToGrid w:val="0"/>
            </w:pPr>
            <w:r>
              <w:rPr>
                <w:rFonts w:hint="eastAsia"/>
                <w:lang w:val="zh-CN"/>
              </w:rPr>
              <w:t>履约保证金的金额：</w:t>
            </w:r>
            <w:r>
              <w:rPr>
                <w:rFonts w:hint="eastAsia"/>
              </w:rPr>
              <w:t>5％签约合同价</w:t>
            </w:r>
          </w:p>
          <w:p w14:paraId="0682D7CF">
            <w:pPr>
              <w:widowControl/>
              <w:adjustRightInd w:val="0"/>
              <w:snapToGrid w:val="0"/>
              <w:rPr>
                <w:color w:val="000000" w:themeColor="text1"/>
              </w:rPr>
            </w:pPr>
            <w:r>
              <w:rPr>
                <w:rFonts w:hint="eastAsia"/>
                <w:color w:val="000000" w:themeColor="text1"/>
                <w:lang w:val="zh-CN"/>
              </w:rPr>
              <w:t>采用银行保函时，出具保函的银行级别：支</w:t>
            </w:r>
            <w:r>
              <w:rPr>
                <w:rFonts w:hint="eastAsia"/>
                <w:color w:val="000000" w:themeColor="text1"/>
              </w:rPr>
              <w:t>行及以上级别的国有或股份制商业银行。</w:t>
            </w:r>
          </w:p>
          <w:p w14:paraId="33D85672">
            <w:pPr>
              <w:widowControl/>
              <w:adjustRightInd w:val="0"/>
              <w:snapToGrid w:val="0"/>
              <w:rPr>
                <w:rFonts w:cs="宋体"/>
                <w:color w:val="000000" w:themeColor="text1"/>
                <w:u w:val="single"/>
              </w:rPr>
            </w:pPr>
            <w:r>
              <w:rPr>
                <w:rFonts w:hint="eastAsia"/>
                <w:color w:val="000000" w:themeColor="text1"/>
                <w:lang w:val="zh-CN"/>
              </w:rPr>
              <w:t>□不要求</w:t>
            </w:r>
          </w:p>
        </w:tc>
      </w:tr>
      <w:tr w14:paraId="4FC36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2" w:hRule="atLeast"/>
        </w:trPr>
        <w:tc>
          <w:tcPr>
            <w:tcW w:w="901" w:type="pct"/>
            <w:vAlign w:val="center"/>
          </w:tcPr>
          <w:p w14:paraId="5EC1C120">
            <w:pPr>
              <w:jc w:val="center"/>
            </w:pPr>
            <w:r>
              <w:t>9</w:t>
            </w:r>
          </w:p>
        </w:tc>
        <w:tc>
          <w:tcPr>
            <w:tcW w:w="937" w:type="pct"/>
            <w:vAlign w:val="center"/>
          </w:tcPr>
          <w:p w14:paraId="50FAA0D8">
            <w:pPr>
              <w:jc w:val="center"/>
            </w:pPr>
            <w:r>
              <w:rPr>
                <w:rFonts w:hint="eastAsia"/>
              </w:rPr>
              <w:t>是否采用电子招标投标</w:t>
            </w:r>
          </w:p>
        </w:tc>
        <w:tc>
          <w:tcPr>
            <w:tcW w:w="3160" w:type="pct"/>
            <w:vAlign w:val="center"/>
          </w:tcPr>
          <w:p w14:paraId="0C5F9732">
            <w:r>
              <w:rPr>
                <w:sz w:val="32"/>
              </w:rPr>
              <w:sym w:font="Wingdings 2" w:char="0052"/>
            </w:r>
            <w:r>
              <w:rPr>
                <w:rFonts w:hint="eastAsia"/>
              </w:rPr>
              <w:t>否</w:t>
            </w:r>
          </w:p>
          <w:p w14:paraId="1643E380">
            <w:pPr>
              <w:rPr>
                <w:lang w:val="zh-CN"/>
              </w:rPr>
            </w:pPr>
            <w:r>
              <w:rPr>
                <w:sz w:val="32"/>
              </w:rPr>
              <w:t>□</w:t>
            </w:r>
            <w:r>
              <w:rPr>
                <w:rFonts w:hint="eastAsia"/>
              </w:rPr>
              <w:t>是，具体要求：</w:t>
            </w:r>
          </w:p>
        </w:tc>
      </w:tr>
      <w:tr w14:paraId="4063DF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3"/>
            <w:vAlign w:val="center"/>
          </w:tcPr>
          <w:p w14:paraId="568C5FD1">
            <w:pPr>
              <w:widowControl/>
              <w:adjustRightInd w:val="0"/>
              <w:snapToGrid w:val="0"/>
              <w:rPr>
                <w:rFonts w:cs="宋体"/>
                <w:color w:val="000000" w:themeColor="text1"/>
                <w:kern w:val="0"/>
              </w:rPr>
            </w:pPr>
            <w:r>
              <w:rPr>
                <w:rFonts w:hint="eastAsia" w:cs="宋体"/>
                <w:color w:val="000000" w:themeColor="text1"/>
                <w:kern w:val="0"/>
              </w:rPr>
              <w:t>需要补充的其他内容</w:t>
            </w:r>
          </w:p>
        </w:tc>
      </w:tr>
      <w:tr w14:paraId="42889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9" w:type="pct"/>
            <w:gridSpan w:val="2"/>
            <w:vAlign w:val="center"/>
          </w:tcPr>
          <w:p w14:paraId="53ACD8F4">
            <w:pPr>
              <w:widowControl/>
              <w:adjustRightInd w:val="0"/>
              <w:snapToGrid w:val="0"/>
              <w:jc w:val="center"/>
              <w:rPr>
                <w:rFonts w:cs="宋体"/>
                <w:bCs/>
                <w:color w:val="000000" w:themeColor="text1"/>
              </w:rPr>
            </w:pPr>
            <w:r>
              <w:rPr>
                <w:rFonts w:hint="eastAsia" w:cs="宋体"/>
                <w:bCs/>
                <w:color w:val="000000" w:themeColor="text1"/>
              </w:rPr>
              <w:t>10.1</w:t>
            </w:r>
          </w:p>
        </w:tc>
        <w:tc>
          <w:tcPr>
            <w:tcW w:w="3160" w:type="pct"/>
            <w:vAlign w:val="center"/>
          </w:tcPr>
          <w:p w14:paraId="5D12F19D">
            <w:pPr>
              <w:widowControl/>
              <w:adjustRightInd w:val="0"/>
              <w:snapToGrid w:val="0"/>
              <w:rPr>
                <w:b/>
                <w:bCs/>
                <w:color w:val="000000" w:themeColor="text1"/>
              </w:rPr>
            </w:pPr>
            <w:r>
              <w:rPr>
                <w:rFonts w:hint="eastAsia" w:cs="宋体"/>
                <w:bCs/>
                <w:color w:val="000000" w:themeColor="text1"/>
              </w:rPr>
              <w:t>增减1.9.5项：</w:t>
            </w:r>
          </w:p>
          <w:p w14:paraId="1F30358E">
            <w:pPr>
              <w:widowControl/>
              <w:adjustRightInd w:val="0"/>
              <w:snapToGrid w:val="0"/>
              <w:rPr>
                <w:lang w:val="zh-CN"/>
              </w:rPr>
            </w:pPr>
            <w:r>
              <w:rPr>
                <w:rFonts w:hint="eastAsia"/>
                <w:b/>
                <w:bCs/>
                <w:color w:val="000000" w:themeColor="text1"/>
                <w:lang w:val="zh-CN"/>
              </w:rPr>
              <w:t>凡有意参与投标的必须自行考察施工现场情况，踏勘现场时必须对</w:t>
            </w:r>
            <w:r>
              <w:rPr>
                <w:rFonts w:hint="eastAsia"/>
                <w:lang w:val="zh-CN"/>
              </w:rPr>
              <w:t>施工现场情况和影响施工的因素以及困难条件（包括但不限于施工场地地理位置、周边环境、交通运输条件、安全施工、扬尘控制、建筑垃圾清除等）进行周密的勘察和研究，作出自己的判断结论和估价。中标后和签订合同时及施工过程中， 投标人均不得以不了解现场情况为由，提出任何形式增加工程造价的要求，施工时因场地问题引起的成本费用增加，均由投标人自行承担，结算时不予调整。投标人应独立、有效的做好该工程周边的有关群众工作，并充分考虑工程实施范围内外的施工单位、个人和其他可能出现阻挠施工等不可预料突发的情况，若因此发生的机械台班停置费、二次机械进退场费、人员窝工、处理周边群众纠纷等费用和损失等，由投标人自行考虑，并列入报价，工程结算时不作调整。投标人应充分考虑已有的现场条件，完工条件所涉及的所有费用已包含在投标报价中，一旦成交不得对现场条件提出额外要求，不得要求增加费用。投标人如有疑问需要澄清，应于</w:t>
            </w:r>
            <w:r>
              <w:rPr>
                <w:lang w:val="zh-CN"/>
              </w:rPr>
              <w:t>2024</w:t>
            </w:r>
            <w:r>
              <w:rPr>
                <w:rFonts w:hint="eastAsia"/>
                <w:lang w:val="zh-CN"/>
              </w:rPr>
              <w:t>年</w:t>
            </w:r>
            <w:r>
              <w:rPr>
                <w:rFonts w:hint="eastAsia"/>
                <w:lang w:val="en-US" w:eastAsia="zh-CN"/>
              </w:rPr>
              <w:t>10</w:t>
            </w:r>
            <w:r>
              <w:rPr>
                <w:rFonts w:hint="eastAsia"/>
                <w:lang w:val="zh-CN"/>
              </w:rPr>
              <w:t>月</w:t>
            </w:r>
            <w:r>
              <w:rPr>
                <w:rFonts w:hint="eastAsia"/>
                <w:lang w:val="en-US" w:eastAsia="zh-CN"/>
              </w:rPr>
              <w:t>14</w:t>
            </w:r>
            <w:bookmarkStart w:id="438" w:name="_GoBack"/>
            <w:bookmarkEnd w:id="438"/>
            <w:r>
              <w:rPr>
                <w:rFonts w:hint="eastAsia"/>
                <w:lang w:val="zh-CN"/>
              </w:rPr>
              <w:t>日17时前向招标人提出，在此时间之后的任何疑问招标人将拒绝回答。</w:t>
            </w:r>
          </w:p>
        </w:tc>
      </w:tr>
      <w:tr w14:paraId="0DA0C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9" w:type="pct"/>
            <w:gridSpan w:val="2"/>
            <w:vAlign w:val="center"/>
          </w:tcPr>
          <w:p w14:paraId="56776AA3">
            <w:pPr>
              <w:widowControl/>
              <w:adjustRightInd w:val="0"/>
              <w:snapToGrid w:val="0"/>
              <w:jc w:val="center"/>
              <w:rPr>
                <w:rFonts w:cs="宋体"/>
                <w:bCs/>
                <w:color w:val="000000" w:themeColor="text1"/>
              </w:rPr>
            </w:pPr>
            <w:r>
              <w:rPr>
                <w:rFonts w:hint="eastAsia" w:cs="宋体"/>
                <w:b/>
                <w:bCs/>
                <w:kern w:val="0"/>
              </w:rPr>
              <w:t>10.2</w:t>
            </w:r>
          </w:p>
        </w:tc>
        <w:tc>
          <w:tcPr>
            <w:tcW w:w="3160" w:type="pct"/>
            <w:vAlign w:val="center"/>
          </w:tcPr>
          <w:p w14:paraId="2F4F3A52">
            <w:pPr>
              <w:widowControl/>
              <w:adjustRightInd w:val="0"/>
              <w:snapToGrid w:val="0"/>
              <w:rPr>
                <w:rFonts w:cs="宋体"/>
                <w:b/>
                <w:bCs/>
                <w:kern w:val="0"/>
              </w:rPr>
            </w:pPr>
            <w:r>
              <w:rPr>
                <w:rFonts w:hint="eastAsia" w:cs="宋体"/>
                <w:b/>
                <w:bCs/>
                <w:kern w:val="0"/>
              </w:rPr>
              <w:t>投标人须知正文部分内容调整如下：</w:t>
            </w:r>
          </w:p>
          <w:p w14:paraId="403C6A58">
            <w:pPr>
              <w:widowControl/>
              <w:rPr>
                <w:rFonts w:cs="宋体"/>
                <w:b/>
                <w:bCs/>
                <w:kern w:val="0"/>
              </w:rPr>
            </w:pPr>
            <w:r>
              <w:rPr>
                <w:rFonts w:hint="eastAsia" w:cs="宋体"/>
                <w:b/>
                <w:bCs/>
                <w:kern w:val="0"/>
              </w:rPr>
              <w:t>1、第3条 投标文件：</w:t>
            </w:r>
          </w:p>
          <w:p w14:paraId="7A9A96B3">
            <w:pPr>
              <w:widowControl/>
              <w:adjustRightInd w:val="0"/>
              <w:snapToGrid w:val="0"/>
            </w:pPr>
            <w:r>
              <w:rPr>
                <w:rFonts w:hint="eastAsia"/>
              </w:rPr>
              <w:t>●第3.1.1项调整为：</w:t>
            </w:r>
          </w:p>
          <w:p w14:paraId="38DC5C34">
            <w:pPr>
              <w:widowControl/>
              <w:adjustRightInd w:val="0"/>
              <w:snapToGrid w:val="0"/>
              <w:jc w:val="left"/>
              <w:rPr>
                <w:rFonts w:ascii="宋体" w:hAnsi="宋体" w:cs="宋体"/>
                <w:lang w:val="zh-CN"/>
              </w:rPr>
            </w:pPr>
            <w:r>
              <w:rPr>
                <w:rFonts w:hint="eastAsia" w:ascii="宋体" w:hAnsi="宋体" w:cs="宋体"/>
                <w:lang w:val="zh-CN"/>
              </w:rPr>
              <w:t>投标文件应包括下列内容：</w:t>
            </w:r>
          </w:p>
          <w:p w14:paraId="33B06B6A">
            <w:pPr>
              <w:widowControl/>
              <w:adjustRightInd w:val="0"/>
              <w:snapToGrid w:val="0"/>
              <w:jc w:val="left"/>
              <w:rPr>
                <w:rFonts w:ascii="宋体" w:hAnsi="宋体" w:cs="宋体"/>
                <w:lang w:val="zh-CN"/>
              </w:rPr>
            </w:pPr>
            <w:r>
              <w:rPr>
                <w:rFonts w:hint="eastAsia" w:ascii="宋体" w:hAnsi="宋体" w:cs="宋体"/>
                <w:lang w:val="zh-CN"/>
              </w:rPr>
              <w:t>投标文件“第一信封 商务</w:t>
            </w:r>
            <w:r>
              <w:rPr>
                <w:rFonts w:hint="eastAsia" w:ascii="宋体" w:hAnsi="宋体" w:cs="宋体"/>
              </w:rPr>
              <w:t>及技术</w:t>
            </w:r>
            <w:r>
              <w:rPr>
                <w:rFonts w:hint="eastAsia" w:ascii="宋体" w:hAnsi="宋体" w:cs="宋体"/>
                <w:lang w:val="zh-CN"/>
              </w:rPr>
              <w:t>文件”、“第二信封 报价文件”必须分别编制。</w:t>
            </w:r>
          </w:p>
          <w:p w14:paraId="2B743360">
            <w:pPr>
              <w:widowControl/>
              <w:adjustRightInd w:val="0"/>
              <w:snapToGrid w:val="0"/>
              <w:jc w:val="left"/>
              <w:rPr>
                <w:rFonts w:ascii="宋体" w:hAnsi="宋体" w:cs="宋体"/>
                <w:lang w:val="zh-CN"/>
              </w:rPr>
            </w:pPr>
            <w:r>
              <w:rPr>
                <w:rFonts w:hint="eastAsia" w:ascii="宋体" w:hAnsi="宋体" w:cs="宋体"/>
                <w:lang w:val="zh-CN"/>
              </w:rPr>
              <w:t>第一信封 商务</w:t>
            </w:r>
            <w:r>
              <w:rPr>
                <w:rFonts w:hint="eastAsia" w:ascii="宋体" w:hAnsi="宋体" w:cs="宋体"/>
              </w:rPr>
              <w:t>及技术</w:t>
            </w:r>
            <w:r>
              <w:rPr>
                <w:rFonts w:hint="eastAsia" w:ascii="宋体" w:hAnsi="宋体" w:cs="宋体"/>
                <w:lang w:val="zh-CN"/>
              </w:rPr>
              <w:t>文件</w:t>
            </w:r>
          </w:p>
          <w:p w14:paraId="3B34CAA5">
            <w:pPr>
              <w:widowControl/>
              <w:adjustRightInd w:val="0"/>
              <w:snapToGrid w:val="0"/>
              <w:jc w:val="left"/>
              <w:rPr>
                <w:rFonts w:ascii="宋体" w:hAnsi="宋体" w:cs="宋体"/>
                <w:lang w:val="zh-CN"/>
              </w:rPr>
            </w:pPr>
            <w:r>
              <w:rPr>
                <w:rFonts w:hint="eastAsia" w:ascii="宋体" w:hAnsi="宋体" w:cs="宋体"/>
                <w:lang w:val="zh-CN"/>
              </w:rPr>
              <w:t>第一个信封（商务及技术文件）：</w:t>
            </w:r>
          </w:p>
          <w:p w14:paraId="6B04BEB6">
            <w:pPr>
              <w:widowControl/>
              <w:adjustRightInd w:val="0"/>
              <w:snapToGrid w:val="0"/>
              <w:jc w:val="left"/>
              <w:rPr>
                <w:rFonts w:ascii="宋体" w:hAnsi="宋体" w:cs="宋体"/>
                <w:lang w:val="zh-CN"/>
              </w:rPr>
            </w:pPr>
            <w:r>
              <w:rPr>
                <w:rFonts w:hint="eastAsia" w:ascii="宋体" w:hAnsi="宋体" w:cs="宋体"/>
                <w:lang w:val="zh-CN"/>
              </w:rPr>
              <w:t>（1）投标函及投标函附录；</w:t>
            </w:r>
          </w:p>
          <w:p w14:paraId="2D93DFBA">
            <w:pPr>
              <w:widowControl/>
              <w:adjustRightInd w:val="0"/>
              <w:snapToGrid w:val="0"/>
              <w:jc w:val="left"/>
              <w:rPr>
                <w:rFonts w:ascii="宋体" w:hAnsi="宋体" w:cs="宋体"/>
                <w:lang w:val="zh-CN"/>
              </w:rPr>
            </w:pPr>
            <w:r>
              <w:rPr>
                <w:rFonts w:hint="eastAsia" w:ascii="宋体" w:hAnsi="宋体" w:cs="宋体"/>
                <w:lang w:val="zh-CN"/>
              </w:rPr>
              <w:t>（2）法定代表人身份证明或附有法定代表人身份证明的授权委托书；</w:t>
            </w:r>
          </w:p>
          <w:p w14:paraId="4CC0FB93">
            <w:pPr>
              <w:widowControl/>
              <w:adjustRightInd w:val="0"/>
              <w:snapToGrid w:val="0"/>
              <w:rPr>
                <w:rFonts w:ascii="宋体" w:hAnsi="宋体" w:cs="宋体"/>
                <w:lang w:val="zh-CN"/>
              </w:rPr>
            </w:pPr>
            <w:r>
              <w:rPr>
                <w:rFonts w:hint="eastAsia" w:ascii="宋体" w:hAnsi="宋体" w:cs="宋体"/>
                <w:lang w:val="zh-CN"/>
              </w:rPr>
              <w:t>（</w:t>
            </w:r>
            <w:r>
              <w:rPr>
                <w:rFonts w:hint="eastAsia" w:ascii="宋体" w:hAnsi="宋体" w:cs="宋体"/>
              </w:rPr>
              <w:t>3</w:t>
            </w:r>
            <w:r>
              <w:rPr>
                <w:rFonts w:hint="eastAsia" w:ascii="宋体" w:hAnsi="宋体" w:cs="宋体"/>
                <w:lang w:val="zh-CN"/>
              </w:rPr>
              <w:t>）项目管理机构；</w:t>
            </w:r>
          </w:p>
          <w:p w14:paraId="3875D354">
            <w:pPr>
              <w:widowControl/>
              <w:adjustRightInd w:val="0"/>
              <w:snapToGrid w:val="0"/>
              <w:rPr>
                <w:rFonts w:ascii="宋体" w:hAnsi="宋体" w:cs="宋体"/>
                <w:lang w:val="zh-CN"/>
              </w:rPr>
            </w:pPr>
            <w:r>
              <w:rPr>
                <w:rFonts w:hint="eastAsia" w:ascii="宋体" w:hAnsi="宋体" w:cs="宋体"/>
                <w:lang w:val="zh-CN"/>
              </w:rPr>
              <w:t>（</w:t>
            </w:r>
            <w:r>
              <w:rPr>
                <w:rFonts w:hint="eastAsia" w:ascii="宋体" w:hAnsi="宋体" w:cs="宋体"/>
              </w:rPr>
              <w:t>4</w:t>
            </w:r>
            <w:r>
              <w:rPr>
                <w:rFonts w:hint="eastAsia" w:ascii="宋体" w:hAnsi="宋体" w:cs="宋体"/>
                <w:lang w:val="zh-CN"/>
              </w:rPr>
              <w:t>）拟分包项目情况表；</w:t>
            </w:r>
          </w:p>
          <w:p w14:paraId="52ED302F">
            <w:pPr>
              <w:widowControl/>
              <w:adjustRightInd w:val="0"/>
              <w:snapToGrid w:val="0"/>
              <w:rPr>
                <w:rFonts w:ascii="宋体" w:hAnsi="宋体" w:cs="宋体"/>
                <w:lang w:val="zh-CN"/>
              </w:rPr>
            </w:pPr>
            <w:r>
              <w:rPr>
                <w:rFonts w:hint="eastAsia" w:ascii="宋体" w:hAnsi="宋体" w:cs="宋体"/>
                <w:lang w:val="zh-CN"/>
              </w:rPr>
              <w:t>（</w:t>
            </w:r>
            <w:r>
              <w:rPr>
                <w:rFonts w:hint="eastAsia" w:ascii="宋体" w:hAnsi="宋体" w:cs="宋体"/>
              </w:rPr>
              <w:t>5</w:t>
            </w:r>
            <w:r>
              <w:rPr>
                <w:rFonts w:hint="eastAsia" w:ascii="宋体" w:hAnsi="宋体" w:cs="宋体"/>
                <w:lang w:val="zh-CN"/>
              </w:rPr>
              <w:t>）资格审查及商务</w:t>
            </w:r>
            <w:r>
              <w:rPr>
                <w:rFonts w:hint="eastAsia" w:ascii="宋体" w:hAnsi="宋体" w:cs="宋体"/>
              </w:rPr>
              <w:t>评审资料</w:t>
            </w:r>
            <w:r>
              <w:rPr>
                <w:rFonts w:hint="eastAsia" w:ascii="宋体" w:hAnsi="宋体" w:cs="宋体"/>
                <w:lang w:val="zh-CN"/>
              </w:rPr>
              <w:t xml:space="preserve">； </w:t>
            </w:r>
          </w:p>
          <w:p w14:paraId="4F23377B">
            <w:pPr>
              <w:widowControl/>
              <w:adjustRightInd w:val="0"/>
              <w:snapToGrid w:val="0"/>
              <w:jc w:val="left"/>
              <w:rPr>
                <w:rFonts w:ascii="宋体" w:hAnsi="宋体" w:cs="宋体"/>
                <w:lang w:val="zh-CN"/>
              </w:rPr>
            </w:pPr>
            <w:r>
              <w:rPr>
                <w:rFonts w:hint="eastAsia" w:ascii="宋体" w:hAnsi="宋体" w:cs="宋体"/>
                <w:lang w:val="zh-CN"/>
              </w:rPr>
              <w:t>（</w:t>
            </w:r>
            <w:r>
              <w:rPr>
                <w:rFonts w:hint="eastAsia" w:ascii="宋体" w:hAnsi="宋体" w:cs="宋体"/>
              </w:rPr>
              <w:t>6</w:t>
            </w:r>
            <w:r>
              <w:rPr>
                <w:rFonts w:hint="eastAsia" w:ascii="宋体" w:hAnsi="宋体" w:cs="宋体"/>
                <w:lang w:val="zh-CN"/>
              </w:rPr>
              <w:t>）其他资料。</w:t>
            </w:r>
          </w:p>
          <w:p w14:paraId="4E12F82B">
            <w:pPr>
              <w:widowControl/>
              <w:adjustRightInd w:val="0"/>
              <w:snapToGrid w:val="0"/>
              <w:jc w:val="left"/>
              <w:rPr>
                <w:rFonts w:ascii="宋体" w:hAnsi="宋体" w:cs="宋体"/>
                <w:lang w:val="zh-CN"/>
              </w:rPr>
            </w:pPr>
            <w:r>
              <w:rPr>
                <w:rFonts w:hint="eastAsia" w:ascii="宋体" w:hAnsi="宋体" w:cs="宋体"/>
                <w:lang w:val="zh-CN"/>
              </w:rPr>
              <w:t>第二信封 报价文件</w:t>
            </w:r>
          </w:p>
          <w:p w14:paraId="00010A09">
            <w:pPr>
              <w:widowControl/>
              <w:adjustRightInd w:val="0"/>
              <w:snapToGrid w:val="0"/>
              <w:jc w:val="left"/>
              <w:rPr>
                <w:rFonts w:ascii="宋体" w:hAnsi="宋体" w:cs="宋体"/>
                <w:lang w:val="zh-CN"/>
              </w:rPr>
            </w:pPr>
            <w:r>
              <w:rPr>
                <w:rFonts w:hint="eastAsia" w:ascii="宋体" w:hAnsi="宋体" w:cs="宋体"/>
                <w:lang w:val="zh-CN"/>
              </w:rPr>
              <w:t>（1）投标函；</w:t>
            </w:r>
          </w:p>
          <w:p w14:paraId="55E64E3D">
            <w:pPr>
              <w:widowControl/>
              <w:adjustRightInd w:val="0"/>
              <w:snapToGrid w:val="0"/>
              <w:jc w:val="left"/>
              <w:rPr>
                <w:rFonts w:ascii="宋体" w:hAnsi="宋体" w:cs="宋体"/>
                <w:lang w:val="zh-CN"/>
              </w:rPr>
            </w:pPr>
            <w:r>
              <w:rPr>
                <w:rFonts w:hint="eastAsia" w:ascii="宋体" w:hAnsi="宋体" w:cs="宋体"/>
                <w:lang w:val="zh-CN"/>
              </w:rPr>
              <w:t>（2）已标价工程量清单。</w:t>
            </w:r>
          </w:p>
          <w:p w14:paraId="0CD5759E">
            <w:pPr>
              <w:widowControl/>
              <w:adjustRightInd w:val="0"/>
              <w:snapToGrid w:val="0"/>
              <w:rPr>
                <w:rFonts w:ascii="宋体" w:hAnsi="宋体" w:cs="宋体"/>
                <w:lang w:val="zh-CN"/>
              </w:rPr>
            </w:pPr>
            <w:r>
              <w:rPr>
                <w:rFonts w:hint="eastAsia" w:ascii="宋体" w:hAnsi="宋体" w:cs="宋体"/>
                <w:lang w:val="zh-CN"/>
              </w:rPr>
              <w:t>投标人在评标过程中作出的符合法律法规和招标文件规定的澄清确认，构成投标文件的组成部分。</w:t>
            </w:r>
          </w:p>
          <w:p w14:paraId="6F53A7E1">
            <w:pPr>
              <w:widowControl/>
              <w:adjustRightInd w:val="0"/>
              <w:snapToGrid w:val="0"/>
            </w:pPr>
            <w:r>
              <w:rPr>
                <w:rFonts w:hint="eastAsia"/>
              </w:rPr>
              <w:t>●第3.2.1项中</w:t>
            </w:r>
          </w:p>
          <w:p w14:paraId="6C9022F2">
            <w:pPr>
              <w:widowControl/>
              <w:adjustRightInd w:val="0"/>
              <w:snapToGrid w:val="0"/>
              <w:rPr>
                <w:rFonts w:ascii="宋体" w:hAnsi="宋体" w:cs="宋体"/>
                <w:lang w:val="zh-CN"/>
              </w:rPr>
            </w:pPr>
            <w:r>
              <w:rPr>
                <w:rFonts w:hint="eastAsia" w:ascii="宋体" w:hAnsi="宋体" w:cs="宋体"/>
                <w:lang w:val="zh-CN"/>
              </w:rPr>
              <w:t>关于工程量固化清单获取、递交方式修改为：</w:t>
            </w:r>
          </w:p>
          <w:p w14:paraId="276B41B2">
            <w:pPr>
              <w:widowControl/>
              <w:adjustRightInd w:val="0"/>
              <w:snapToGrid w:val="0"/>
              <w:rPr>
                <w:rFonts w:ascii="宋体" w:hAnsi="宋体" w:cs="宋体"/>
                <w:lang w:val="zh-CN"/>
              </w:rPr>
            </w:pPr>
            <w:r>
              <w:rPr>
                <w:rFonts w:hint="eastAsia" w:ascii="宋体" w:hAnsi="宋体" w:cs="宋体"/>
                <w:lang w:val="zh-CN"/>
              </w:rPr>
              <w:t>本项目招标采用工程量固化清单，招标人发布招标公告同时上传本项目工程量固化清单，投标人自行查看招标公告，并在招标公告下方下载本项目工程量固化清单。</w:t>
            </w:r>
          </w:p>
          <w:p w14:paraId="6E5E7F8B">
            <w:pPr>
              <w:widowControl/>
              <w:adjustRightInd w:val="0"/>
              <w:snapToGrid w:val="0"/>
              <w:rPr>
                <w:rFonts w:ascii="宋体" w:hAnsi="宋体" w:cs="宋体"/>
                <w:lang w:val="zh-CN"/>
              </w:rPr>
            </w:pPr>
            <w:r>
              <w:rPr>
                <w:rFonts w:hint="eastAsia" w:ascii="宋体" w:hAnsi="宋体" w:cs="宋体"/>
                <w:lang w:val="zh-CN"/>
              </w:rPr>
              <w:t>投标人填写工程量清单中各子目的单价及总额价，即可完成投标工程量清单的编制，确定投标报价，并打印出投标工程量清单，编入投标文件。投标人未在工程量清单中填入单价或总额价的工程子目，将被认为其已包含在工程量清单其他子目的单价和总额价中，招标人将不予支付。</w:t>
            </w:r>
          </w:p>
          <w:p w14:paraId="4E7D7D0C">
            <w:pPr>
              <w:widowControl/>
              <w:adjustRightInd w:val="0"/>
              <w:snapToGrid w:val="0"/>
              <w:rPr>
                <w:rFonts w:ascii="宋体" w:hAnsi="宋体" w:cs="宋体"/>
                <w:lang w:val="zh-CN"/>
              </w:rPr>
            </w:pPr>
            <w:r>
              <w:rPr>
                <w:rFonts w:hint="eastAsia" w:ascii="宋体" w:hAnsi="宋体" w:cs="宋体"/>
                <w:lang w:val="zh-CN"/>
              </w:rPr>
              <w:t>投标人必须严格遵循工程量固化清单电子文件中的数据、格式及运算定义，严禁投标人修改工程量固化清单电子文件中的数据、格式及运算定义。</w:t>
            </w:r>
          </w:p>
          <w:p w14:paraId="30D53C9E">
            <w:pPr>
              <w:widowControl/>
              <w:adjustRightInd w:val="0"/>
              <w:snapToGrid w:val="0"/>
              <w:rPr>
                <w:rFonts w:ascii="宋体" w:hAnsi="宋体" w:cs="宋体"/>
                <w:lang w:val="zh-CN"/>
              </w:rPr>
            </w:pPr>
            <w:r>
              <w:rPr>
                <w:rFonts w:hint="eastAsia" w:ascii="宋体" w:hAnsi="宋体" w:cs="宋体"/>
                <w:lang w:val="zh-CN"/>
              </w:rPr>
              <w:t>投标人根据招标人提供的工程量固化清单电子文件填报完成的投标报价和投标函大写金额报价应一致，如果报价金额出现差异，其投标将被否决。</w:t>
            </w:r>
          </w:p>
          <w:p w14:paraId="6AA70352">
            <w:pPr>
              <w:widowControl/>
              <w:adjustRightInd w:val="0"/>
              <w:snapToGrid w:val="0"/>
            </w:pPr>
            <w:r>
              <w:rPr>
                <w:rFonts w:hint="eastAsia"/>
              </w:rPr>
              <w:t>●第3.5.2项中</w:t>
            </w:r>
          </w:p>
          <w:p w14:paraId="1C58E35A">
            <w:pPr>
              <w:widowControl/>
              <w:adjustRightInd w:val="0"/>
              <w:snapToGrid w:val="0"/>
            </w:pPr>
            <w:r>
              <w:rPr>
                <w:rFonts w:hint="eastAsia"/>
              </w:rPr>
              <w:t>关于资格审查证明材料修改为：</w:t>
            </w:r>
          </w:p>
          <w:p w14:paraId="08F99769">
            <w:pPr>
              <w:widowControl/>
              <w:adjustRightInd w:val="0"/>
              <w:snapToGrid w:val="0"/>
            </w:pPr>
            <w:r>
              <w:rPr>
                <w:rFonts w:hint="eastAsia"/>
              </w:rPr>
              <w:t>本项目不采用系统生成投标报表作为资格审查资料，投标人按照“第九章 投标文件格式”要求提供相关证明材料。</w:t>
            </w:r>
          </w:p>
          <w:p w14:paraId="2A423956">
            <w:pPr>
              <w:widowControl/>
              <w:adjustRightInd w:val="0"/>
              <w:snapToGrid w:val="0"/>
            </w:pPr>
            <w:r>
              <w:rPr>
                <w:rFonts w:hint="eastAsia"/>
              </w:rPr>
              <w:t>●第3.5.4项取消</w:t>
            </w:r>
          </w:p>
          <w:p w14:paraId="1ADE06DF">
            <w:pPr>
              <w:widowControl/>
              <w:adjustRightInd w:val="0"/>
              <w:snapToGrid w:val="0"/>
            </w:pPr>
            <w:r>
              <w:rPr>
                <w:rFonts w:hint="eastAsia"/>
              </w:rPr>
              <w:t>●第3.7.3项修改为：</w:t>
            </w:r>
          </w:p>
          <w:p w14:paraId="2B279FD1">
            <w:pPr>
              <w:widowControl/>
              <w:adjustRightInd w:val="0"/>
              <w:snapToGrid w:val="0"/>
              <w:rPr>
                <w:rFonts w:ascii="宋体" w:hAnsi="宋体" w:cs="宋体"/>
                <w:lang w:val="zh-CN"/>
              </w:rPr>
            </w:pPr>
            <w:r>
              <w:rPr>
                <w:rFonts w:hint="eastAsia" w:ascii="宋体" w:hAnsi="宋体" w:cs="宋体"/>
                <w:lang w:val="zh-CN"/>
              </w:rPr>
              <w:t>投标文件应用不褪色的材料书写或打印。投标文件格式中明确要求投标人法定代表人或其委托代理人签字之处，必须由相关人员亲笔签名（或签章）；明确要求投标人加盖单位章之处，必须加盖单位章。</w:t>
            </w:r>
          </w:p>
          <w:p w14:paraId="01343566">
            <w:pPr>
              <w:widowControl/>
              <w:adjustRightInd w:val="0"/>
              <w:snapToGrid w:val="0"/>
              <w:rPr>
                <w:rFonts w:ascii="宋体" w:hAnsi="宋体" w:cs="宋体"/>
                <w:lang w:val="zh-CN"/>
              </w:rPr>
            </w:pPr>
            <w:r>
              <w:rPr>
                <w:rFonts w:hint="eastAsia" w:ascii="宋体" w:hAnsi="宋体" w:cs="宋体"/>
                <w:lang w:val="zh-CN"/>
              </w:rPr>
              <w:t>如果投标文件由委托代理人签署，则投标人须提交授权委托书，授权委托书应按 第六章“投标文件格式”的要求出具，并由法定代表人和委托代理人签名（或签章）。如果由投标人的法定代表人签署投标文件，则不需提交授权书，但应提供法定代表人身份证明。</w:t>
            </w:r>
          </w:p>
          <w:p w14:paraId="2ADE7747">
            <w:pPr>
              <w:widowControl/>
              <w:adjustRightInd w:val="0"/>
              <w:snapToGrid w:val="0"/>
              <w:rPr>
                <w:rFonts w:ascii="宋体" w:hAnsi="宋体" w:cs="宋体"/>
                <w:lang w:val="zh-CN"/>
              </w:rPr>
            </w:pPr>
            <w:r>
              <w:rPr>
                <w:rFonts w:hint="eastAsia" w:ascii="宋体" w:hAnsi="宋体" w:cs="宋体"/>
                <w:lang w:val="zh-CN"/>
              </w:rPr>
              <w:t>如果由投标人的法定代表人亲自签署投标文件，则投标人须提交法定代表人身份证明，身份证明应符合第六章“投标文件格式”的要求。</w:t>
            </w:r>
          </w:p>
          <w:p w14:paraId="6C358B8A">
            <w:pPr>
              <w:widowControl/>
              <w:adjustRightInd w:val="0"/>
              <w:snapToGrid w:val="0"/>
              <w:rPr>
                <w:rFonts w:ascii="宋体" w:hAnsi="宋体" w:cs="宋体"/>
                <w:lang w:val="zh-CN"/>
              </w:rPr>
            </w:pPr>
            <w:r>
              <w:rPr>
                <w:rFonts w:hint="eastAsia" w:ascii="宋体" w:hAnsi="宋体" w:cs="宋体"/>
                <w:lang w:val="zh-CN"/>
              </w:rPr>
              <w:t>投标文件应尽量避免涂改、行间插字或删除。 如果出现上述情况，改动之处应由投标人的法定代表人或其授权的代理人签字（或签章）或加盖单位章。</w:t>
            </w:r>
          </w:p>
          <w:p w14:paraId="0238AF4D">
            <w:pPr>
              <w:widowControl/>
              <w:adjustRightInd w:val="0"/>
              <w:snapToGrid w:val="0"/>
              <w:rPr>
                <w:rFonts w:ascii="宋体" w:hAnsi="宋体" w:cs="宋体"/>
              </w:rPr>
            </w:pPr>
            <w:r>
              <w:rPr>
                <w:rFonts w:hint="eastAsia" w:ascii="宋体" w:hAnsi="宋体" w:cs="宋体"/>
              </w:rPr>
              <w:t>第4条 投标</w:t>
            </w:r>
          </w:p>
          <w:p w14:paraId="4E9632AF">
            <w:pPr>
              <w:widowControl/>
              <w:adjustRightInd w:val="0"/>
              <w:snapToGrid w:val="0"/>
            </w:pPr>
            <w:r>
              <w:rPr>
                <w:rFonts w:hint="eastAsia"/>
              </w:rPr>
              <w:t>4.1.1 项修改为：</w:t>
            </w:r>
          </w:p>
          <w:p w14:paraId="48D234ED">
            <w:pPr>
              <w:widowControl/>
              <w:adjustRightInd w:val="0"/>
              <w:snapToGrid w:val="0"/>
            </w:pPr>
            <w:r>
              <w:rPr>
                <w:rFonts w:hint="eastAsia"/>
              </w:rPr>
              <w:t xml:space="preserve">投标文件应采用双信封形式密封。投标文件第一个信封（商务及技术文件）以及第二个信封（报价文件）应单独密封包装。封套上加盖投标人单位章。 </w:t>
            </w:r>
          </w:p>
          <w:p w14:paraId="10606F10">
            <w:pPr>
              <w:widowControl/>
              <w:adjustRightInd w:val="0"/>
              <w:snapToGrid w:val="0"/>
              <w:rPr>
                <w:rFonts w:cs="宋体"/>
                <w:b/>
                <w:bCs/>
                <w:kern w:val="0"/>
              </w:rPr>
            </w:pPr>
            <w:r>
              <w:rPr>
                <w:rFonts w:hint="eastAsia" w:cs="宋体"/>
                <w:b/>
                <w:bCs/>
                <w:kern w:val="0"/>
              </w:rPr>
              <w:t>3、第5条 开标：</w:t>
            </w:r>
          </w:p>
          <w:p w14:paraId="66D085CD">
            <w:pPr>
              <w:widowControl/>
              <w:adjustRightInd w:val="0"/>
              <w:snapToGrid w:val="0"/>
            </w:pPr>
            <w:r>
              <w:rPr>
                <w:rFonts w:hint="eastAsia"/>
              </w:rPr>
              <w:t>●第5.2.1项修改为：</w:t>
            </w:r>
          </w:p>
          <w:p w14:paraId="229329E5">
            <w:pPr>
              <w:widowControl/>
              <w:adjustRightInd w:val="0"/>
              <w:snapToGrid w:val="0"/>
              <w:rPr>
                <w:rFonts w:ascii="宋体" w:hAnsi="宋体" w:cs="宋体"/>
                <w:lang w:val="zh-CN"/>
              </w:rPr>
            </w:pPr>
            <w:r>
              <w:rPr>
                <w:rFonts w:hint="eastAsia" w:ascii="宋体" w:hAnsi="宋体" w:cs="宋体"/>
                <w:lang w:val="zh-CN"/>
              </w:rPr>
              <w:t>主持人按下列程序对投标文件第一个信封（商务及技术文件）进行开标：</w:t>
            </w:r>
          </w:p>
          <w:p w14:paraId="34868DE8">
            <w:pPr>
              <w:widowControl/>
              <w:adjustRightInd w:val="0"/>
              <w:snapToGrid w:val="0"/>
              <w:rPr>
                <w:rFonts w:ascii="宋体" w:hAnsi="宋体" w:cs="宋体"/>
                <w:lang w:val="zh-CN"/>
              </w:rPr>
            </w:pPr>
            <w:r>
              <w:rPr>
                <w:rFonts w:hint="eastAsia" w:ascii="宋体" w:hAnsi="宋体" w:cs="宋体"/>
                <w:lang w:val="zh-CN"/>
              </w:rPr>
              <w:t>（1）宣布开标纪律；</w:t>
            </w:r>
          </w:p>
          <w:p w14:paraId="712EBCB6">
            <w:pPr>
              <w:widowControl/>
              <w:adjustRightInd w:val="0"/>
              <w:snapToGrid w:val="0"/>
              <w:rPr>
                <w:rFonts w:ascii="宋体" w:hAnsi="宋体" w:cs="宋体"/>
                <w:lang w:val="zh-CN"/>
              </w:rPr>
            </w:pPr>
            <w:r>
              <w:rPr>
                <w:rFonts w:hint="eastAsia" w:ascii="宋体" w:hAnsi="宋体" w:cs="宋体"/>
                <w:lang w:val="zh-CN"/>
              </w:rPr>
              <w:t>（2）公布在投标截止时间前递交投标文件的投标人数量；</w:t>
            </w:r>
          </w:p>
          <w:p w14:paraId="50AB2422">
            <w:pPr>
              <w:widowControl/>
              <w:adjustRightInd w:val="0"/>
              <w:snapToGrid w:val="0"/>
              <w:rPr>
                <w:rFonts w:ascii="宋体" w:hAnsi="宋体" w:cs="宋体"/>
                <w:lang w:val="zh-CN"/>
              </w:rPr>
            </w:pPr>
            <w:r>
              <w:rPr>
                <w:rFonts w:hint="eastAsia" w:ascii="宋体" w:hAnsi="宋体" w:cs="宋体"/>
                <w:lang w:val="zh-CN"/>
              </w:rPr>
              <w:t>（</w:t>
            </w:r>
            <w:r>
              <w:rPr>
                <w:rFonts w:hint="eastAsia" w:ascii="宋体" w:hAnsi="宋体" w:cs="宋体"/>
              </w:rPr>
              <w:t>3</w:t>
            </w:r>
            <w:r>
              <w:rPr>
                <w:rFonts w:hint="eastAsia" w:ascii="宋体" w:hAnsi="宋体" w:cs="宋体"/>
                <w:lang w:val="zh-CN"/>
              </w:rPr>
              <w:t>）由投标人代表检查投标文件的密封情况；</w:t>
            </w:r>
          </w:p>
          <w:p w14:paraId="4E25E1EB">
            <w:pPr>
              <w:widowControl/>
              <w:adjustRightInd w:val="0"/>
              <w:snapToGrid w:val="0"/>
              <w:rPr>
                <w:rFonts w:ascii="宋体" w:hAnsi="宋体" w:cs="宋体"/>
                <w:lang w:val="zh-CN"/>
              </w:rPr>
            </w:pPr>
            <w:r>
              <w:rPr>
                <w:rFonts w:hint="eastAsia" w:ascii="宋体" w:hAnsi="宋体" w:cs="宋体"/>
                <w:lang w:val="zh-CN"/>
              </w:rPr>
              <w:t>（</w:t>
            </w:r>
            <w:r>
              <w:rPr>
                <w:rFonts w:hint="eastAsia" w:ascii="宋体" w:hAnsi="宋体" w:cs="宋体"/>
              </w:rPr>
              <w:t>4</w:t>
            </w:r>
            <w:r>
              <w:rPr>
                <w:rFonts w:hint="eastAsia" w:ascii="宋体" w:hAnsi="宋体" w:cs="宋体"/>
                <w:lang w:val="zh-CN"/>
              </w:rPr>
              <w:t>）公布标段名称、投标人名称、投标函中主要内容，并记录在案；</w:t>
            </w:r>
          </w:p>
          <w:p w14:paraId="333867ED">
            <w:pPr>
              <w:widowControl/>
              <w:adjustRightInd w:val="0"/>
              <w:snapToGrid w:val="0"/>
              <w:rPr>
                <w:rFonts w:ascii="宋体" w:hAnsi="宋体" w:cs="宋体"/>
                <w:lang w:val="zh-CN"/>
              </w:rPr>
            </w:pPr>
            <w:r>
              <w:rPr>
                <w:rFonts w:hint="eastAsia" w:ascii="宋体" w:hAnsi="宋体" w:cs="宋体"/>
                <w:lang w:val="zh-CN"/>
              </w:rPr>
              <w:t>（</w:t>
            </w:r>
            <w:r>
              <w:rPr>
                <w:rFonts w:hint="eastAsia" w:ascii="宋体" w:hAnsi="宋体" w:cs="宋体"/>
              </w:rPr>
              <w:t>5</w:t>
            </w:r>
            <w:r>
              <w:rPr>
                <w:rFonts w:hint="eastAsia" w:ascii="宋体" w:hAnsi="宋体" w:cs="宋体"/>
                <w:lang w:val="zh-CN"/>
              </w:rPr>
              <w:t>）投标人代表、记录人等有关人员在开标记录上签字确认；</w:t>
            </w:r>
          </w:p>
          <w:p w14:paraId="604B469D">
            <w:pPr>
              <w:widowControl/>
              <w:adjustRightInd w:val="0"/>
              <w:snapToGrid w:val="0"/>
              <w:rPr>
                <w:rFonts w:ascii="宋体" w:hAnsi="宋体" w:cs="宋体"/>
                <w:lang w:val="zh-CN"/>
              </w:rPr>
            </w:pPr>
            <w:r>
              <w:rPr>
                <w:rFonts w:hint="eastAsia" w:ascii="宋体" w:hAnsi="宋体" w:cs="宋体"/>
                <w:lang w:val="zh-CN"/>
              </w:rPr>
              <w:t>（</w:t>
            </w:r>
            <w:r>
              <w:rPr>
                <w:rFonts w:hint="eastAsia" w:ascii="宋体" w:hAnsi="宋体" w:cs="宋体"/>
              </w:rPr>
              <w:t>6</w:t>
            </w:r>
            <w:r>
              <w:rPr>
                <w:rFonts w:hint="eastAsia" w:ascii="宋体" w:hAnsi="宋体" w:cs="宋体"/>
                <w:lang w:val="zh-CN"/>
              </w:rPr>
              <w:t>）开标结束。</w:t>
            </w:r>
          </w:p>
          <w:p w14:paraId="405C2365">
            <w:pPr>
              <w:widowControl/>
              <w:adjustRightInd w:val="0"/>
              <w:snapToGrid w:val="0"/>
            </w:pPr>
            <w:r>
              <w:rPr>
                <w:rFonts w:hint="eastAsia"/>
              </w:rPr>
              <w:t>●第5.2.3项修改为：</w:t>
            </w:r>
          </w:p>
          <w:p w14:paraId="0D70AA18">
            <w:pPr>
              <w:widowControl/>
              <w:adjustRightInd w:val="0"/>
              <w:snapToGrid w:val="0"/>
              <w:rPr>
                <w:rFonts w:ascii="宋体" w:hAnsi="宋体" w:cs="宋体"/>
                <w:lang w:val="zh-CN"/>
              </w:rPr>
            </w:pPr>
            <w:r>
              <w:rPr>
                <w:rFonts w:hint="eastAsia" w:ascii="宋体" w:hAnsi="宋体" w:cs="宋体"/>
                <w:lang w:val="zh-CN"/>
              </w:rPr>
              <w:t>招标人将按照本章第5.1款规定的时间和地点对投标文件第二个信封（报价文件）进行开标。主持人按下列程序进行开标：</w:t>
            </w:r>
          </w:p>
          <w:p w14:paraId="35D801F3">
            <w:pPr>
              <w:widowControl/>
              <w:adjustRightInd w:val="0"/>
              <w:snapToGrid w:val="0"/>
              <w:rPr>
                <w:rFonts w:ascii="宋体" w:hAnsi="宋体" w:cs="宋体"/>
                <w:lang w:val="zh-CN"/>
              </w:rPr>
            </w:pPr>
            <w:r>
              <w:rPr>
                <w:rFonts w:hint="eastAsia" w:ascii="宋体" w:hAnsi="宋体" w:cs="宋体"/>
                <w:lang w:val="zh-CN"/>
              </w:rPr>
              <w:t>（1）宣布通过投标文件第一个信封（商务及技术文件）</w:t>
            </w:r>
            <w:r>
              <w:rPr>
                <w:rFonts w:hint="eastAsia" w:ascii="宋体" w:hAnsi="宋体" w:cs="宋体"/>
              </w:rPr>
              <w:t>的投标人名单及</w:t>
            </w:r>
            <w:r>
              <w:rPr>
                <w:rFonts w:hint="eastAsia" w:ascii="宋体" w:hAnsi="宋体" w:cs="宋体"/>
                <w:lang w:val="zh-CN"/>
              </w:rPr>
              <w:t>评审结果；</w:t>
            </w:r>
          </w:p>
          <w:p w14:paraId="29D493DD">
            <w:pPr>
              <w:widowControl/>
              <w:adjustRightInd w:val="0"/>
              <w:snapToGrid w:val="0"/>
              <w:rPr>
                <w:rFonts w:ascii="宋体" w:hAnsi="宋体" w:cs="宋体"/>
                <w:lang w:val="zh-CN"/>
              </w:rPr>
            </w:pPr>
            <w:r>
              <w:rPr>
                <w:rFonts w:hint="eastAsia" w:ascii="宋体" w:hAnsi="宋体" w:cs="宋体"/>
                <w:lang w:val="zh-CN"/>
              </w:rPr>
              <w:t>（2）拆封通过投标文件第一个信封（商务及技术文件）评审的投标文件第二个信封（报价文件），公布标段名称、投标人名称、投标报价及其他内容（</w:t>
            </w:r>
            <w:r>
              <w:rPr>
                <w:rFonts w:hint="eastAsia" w:ascii="宋体" w:hAnsi="宋体" w:cs="宋体"/>
              </w:rPr>
              <w:t>如有</w:t>
            </w:r>
            <w:r>
              <w:rPr>
                <w:rFonts w:hint="eastAsia" w:ascii="宋体" w:hAnsi="宋体" w:cs="宋体"/>
                <w:lang w:val="zh-CN"/>
              </w:rPr>
              <w:t>），并记录在案；</w:t>
            </w:r>
          </w:p>
          <w:p w14:paraId="35607FF1">
            <w:pPr>
              <w:widowControl/>
              <w:adjustRightInd w:val="0"/>
              <w:snapToGrid w:val="0"/>
              <w:rPr>
                <w:rFonts w:ascii="宋体" w:hAnsi="宋体" w:cs="宋体"/>
                <w:lang w:val="zh-CN"/>
              </w:rPr>
            </w:pPr>
            <w:r>
              <w:rPr>
                <w:rFonts w:hint="eastAsia" w:ascii="宋体" w:hAnsi="宋体" w:cs="宋体"/>
                <w:lang w:val="zh-CN"/>
              </w:rPr>
              <w:t>（3）计算并宣布评标基准价；</w:t>
            </w:r>
          </w:p>
          <w:p w14:paraId="2A9D3302">
            <w:pPr>
              <w:widowControl/>
              <w:adjustRightInd w:val="0"/>
              <w:snapToGrid w:val="0"/>
              <w:rPr>
                <w:rFonts w:ascii="宋体" w:hAnsi="宋体" w:cs="宋体"/>
                <w:lang w:val="zh-CN"/>
              </w:rPr>
            </w:pPr>
            <w:r>
              <w:rPr>
                <w:rFonts w:hint="eastAsia" w:ascii="宋体" w:hAnsi="宋体" w:cs="宋体"/>
                <w:lang w:val="zh-CN"/>
              </w:rPr>
              <w:t>（4）将未通过投标文件第一个信封（商务及技术文件）评审的投标文件第二个信封（报价文件）退还给投标人；</w:t>
            </w:r>
          </w:p>
          <w:p w14:paraId="0403FC58">
            <w:pPr>
              <w:widowControl/>
              <w:adjustRightInd w:val="0"/>
              <w:snapToGrid w:val="0"/>
              <w:rPr>
                <w:rFonts w:ascii="宋体" w:hAnsi="宋体" w:cs="宋体"/>
                <w:lang w:val="zh-CN"/>
              </w:rPr>
            </w:pPr>
            <w:r>
              <w:rPr>
                <w:rFonts w:hint="eastAsia" w:ascii="宋体" w:hAnsi="宋体" w:cs="宋体"/>
                <w:lang w:val="zh-CN"/>
              </w:rPr>
              <w:t>（5）投标人代表、记录人等有关人员在开标记录上签字确认；</w:t>
            </w:r>
          </w:p>
          <w:p w14:paraId="6AD0DA46">
            <w:pPr>
              <w:widowControl/>
              <w:adjustRightInd w:val="0"/>
              <w:snapToGrid w:val="0"/>
              <w:rPr>
                <w:rFonts w:ascii="宋体" w:hAnsi="宋体" w:cs="宋体"/>
                <w:lang w:val="zh-CN"/>
              </w:rPr>
            </w:pPr>
            <w:r>
              <w:rPr>
                <w:rFonts w:hint="eastAsia" w:ascii="宋体" w:hAnsi="宋体" w:cs="宋体"/>
                <w:lang w:val="zh-CN"/>
              </w:rPr>
              <w:t>（6）开标结束。</w:t>
            </w:r>
          </w:p>
          <w:p w14:paraId="353C14E1">
            <w:pPr>
              <w:widowControl/>
              <w:adjustRightInd w:val="0"/>
              <w:snapToGrid w:val="0"/>
              <w:rPr>
                <w:rFonts w:cs="宋体"/>
                <w:b/>
                <w:bCs/>
                <w:kern w:val="0"/>
              </w:rPr>
            </w:pPr>
            <w:r>
              <w:rPr>
                <w:rFonts w:hint="eastAsia" w:cs="宋体"/>
                <w:b/>
                <w:bCs/>
                <w:kern w:val="0"/>
              </w:rPr>
              <w:t>3、第七条 合同授予：</w:t>
            </w:r>
          </w:p>
          <w:p w14:paraId="12A7C118">
            <w:pPr>
              <w:widowControl/>
              <w:adjustRightInd w:val="0"/>
              <w:snapToGrid w:val="0"/>
            </w:pPr>
            <w:r>
              <w:rPr>
                <w:rFonts w:hint="eastAsia"/>
              </w:rPr>
              <w:t>●第7.1款中中标候选人公示内容修改为：</w:t>
            </w:r>
          </w:p>
          <w:p w14:paraId="1C139019">
            <w:pPr>
              <w:widowControl/>
              <w:adjustRightInd w:val="0"/>
              <w:snapToGrid w:val="0"/>
              <w:rPr>
                <w:rFonts w:ascii="宋体" w:hAnsi="宋体" w:cs="宋体"/>
                <w:lang w:val="zh-CN"/>
              </w:rPr>
            </w:pPr>
            <w:r>
              <w:rPr>
                <w:rFonts w:hint="eastAsia" w:ascii="宋体" w:hAnsi="宋体" w:cs="宋体"/>
                <w:lang w:val="zh-CN"/>
              </w:rPr>
              <w:t>（1）中标候选人排序、</w:t>
            </w:r>
            <w:r>
              <w:rPr>
                <w:rFonts w:hint="eastAsia" w:ascii="宋体" w:hAnsi="宋体" w:cs="宋体"/>
              </w:rPr>
              <w:t>投标人</w:t>
            </w:r>
            <w:r>
              <w:rPr>
                <w:rFonts w:hint="eastAsia" w:ascii="宋体" w:hAnsi="宋体" w:cs="宋体"/>
                <w:lang w:val="zh-CN"/>
              </w:rPr>
              <w:t>名称、投标报价、项目经理</w:t>
            </w:r>
            <w:r>
              <w:rPr>
                <w:rFonts w:hint="eastAsia" w:ascii="宋体" w:hAnsi="宋体" w:cs="宋体"/>
              </w:rPr>
              <w:t>姓名</w:t>
            </w:r>
            <w:r>
              <w:rPr>
                <w:rFonts w:hint="eastAsia" w:ascii="宋体" w:hAnsi="宋体" w:cs="宋体"/>
                <w:lang w:val="zh-CN"/>
              </w:rPr>
              <w:t>；</w:t>
            </w:r>
          </w:p>
          <w:p w14:paraId="2C6E29DB">
            <w:pPr>
              <w:widowControl/>
              <w:adjustRightInd w:val="0"/>
              <w:snapToGrid w:val="0"/>
              <w:rPr>
                <w:rFonts w:ascii="宋体" w:hAnsi="宋体" w:cs="宋体"/>
                <w:lang w:val="zh-CN"/>
              </w:rPr>
            </w:pPr>
            <w:r>
              <w:rPr>
                <w:rFonts w:hint="eastAsia" w:ascii="宋体" w:hAnsi="宋体" w:cs="宋体"/>
                <w:lang w:val="zh-CN"/>
              </w:rPr>
              <w:t>（2）提出异议的渠道和方式；</w:t>
            </w:r>
          </w:p>
          <w:p w14:paraId="1888B045">
            <w:pPr>
              <w:widowControl/>
              <w:adjustRightInd w:val="0"/>
              <w:snapToGrid w:val="0"/>
              <w:rPr>
                <w:b/>
                <w:bCs/>
                <w:color w:val="000000" w:themeColor="text1"/>
                <w:lang w:val="zh-CN"/>
              </w:rPr>
            </w:pPr>
            <w:r>
              <w:rPr>
                <w:rFonts w:hint="eastAsia" w:ascii="宋体" w:hAnsi="宋体" w:cs="宋体"/>
                <w:lang w:val="zh-CN"/>
              </w:rPr>
              <w:t>（3）投标人须知前附表规定公示的其他内容。</w:t>
            </w:r>
          </w:p>
        </w:tc>
      </w:tr>
      <w:tr w14:paraId="531F7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9" w:type="pct"/>
            <w:gridSpan w:val="2"/>
            <w:vAlign w:val="center"/>
          </w:tcPr>
          <w:p w14:paraId="728CFA58">
            <w:pPr>
              <w:widowControl/>
              <w:adjustRightInd w:val="0"/>
              <w:snapToGrid w:val="0"/>
              <w:jc w:val="center"/>
              <w:rPr>
                <w:rFonts w:cs="宋体"/>
                <w:bCs/>
                <w:color w:val="000000" w:themeColor="text1"/>
              </w:rPr>
            </w:pPr>
            <w:r>
              <w:rPr>
                <w:rFonts w:hint="eastAsia" w:cs="宋体"/>
                <w:bCs/>
                <w:color w:val="000000" w:themeColor="text1"/>
              </w:rPr>
              <w:t>10.3</w:t>
            </w:r>
          </w:p>
        </w:tc>
        <w:tc>
          <w:tcPr>
            <w:tcW w:w="3160" w:type="pct"/>
            <w:vAlign w:val="center"/>
          </w:tcPr>
          <w:p w14:paraId="4AA49776">
            <w:pPr>
              <w:widowControl/>
              <w:adjustRightInd w:val="0"/>
              <w:snapToGrid w:val="0"/>
              <w:rPr>
                <w:color w:val="000000" w:themeColor="text1"/>
                <w:lang w:val="zh-CN"/>
              </w:rPr>
            </w:pPr>
            <w:r>
              <w:rPr>
                <w:rFonts w:hint="eastAsia"/>
                <w:color w:val="000000" w:themeColor="text1"/>
                <w:lang w:val="zh-CN"/>
              </w:rPr>
              <w:t>投标和施工阶段有关主要人员变更的规定：</w:t>
            </w:r>
          </w:p>
          <w:p w14:paraId="1E6F7EE4">
            <w:pPr>
              <w:widowControl/>
              <w:adjustRightInd w:val="0"/>
              <w:snapToGrid w:val="0"/>
              <w:rPr>
                <w:color w:val="000000" w:themeColor="text1"/>
                <w:lang w:val="zh-CN"/>
              </w:rPr>
            </w:pPr>
            <w:r>
              <w:rPr>
                <w:rFonts w:hint="eastAsia"/>
                <w:color w:val="000000" w:themeColor="text1"/>
                <w:lang w:val="zh-CN"/>
              </w:rPr>
              <w:t>（1）投标阶段（投标截止时间至合同签订时间止）不得出现主要人员（项目经理）更换的情形；</w:t>
            </w:r>
          </w:p>
          <w:p w14:paraId="36A27398">
            <w:pPr>
              <w:widowControl/>
              <w:adjustRightInd w:val="0"/>
              <w:snapToGrid w:val="0"/>
              <w:rPr>
                <w:color w:val="000000" w:themeColor="text1"/>
                <w:lang w:val="zh-CN"/>
              </w:rPr>
            </w:pPr>
            <w:r>
              <w:rPr>
                <w:rFonts w:hint="eastAsia"/>
                <w:color w:val="000000" w:themeColor="text1"/>
                <w:lang w:val="zh-CN"/>
              </w:rPr>
              <w:t>（2）在合同实施过程中，如出现项目负责人更换的情况，发包人将根据合同条款4.5款规定对承包单位进行考核、处罚，并根据《江苏省公路水运建设市场信用信息管理办法》的相关规定将考核结果上报交通行政主管部门。</w:t>
            </w:r>
          </w:p>
        </w:tc>
      </w:tr>
      <w:tr w14:paraId="5DC8D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9" w:type="pct"/>
            <w:gridSpan w:val="2"/>
            <w:vAlign w:val="center"/>
          </w:tcPr>
          <w:p w14:paraId="6621BBA7">
            <w:pPr>
              <w:widowControl/>
              <w:adjustRightInd w:val="0"/>
              <w:snapToGrid w:val="0"/>
              <w:jc w:val="center"/>
              <w:rPr>
                <w:color w:val="000000" w:themeColor="text1"/>
              </w:rPr>
            </w:pPr>
            <w:r>
              <w:rPr>
                <w:rFonts w:hint="eastAsia"/>
                <w:color w:val="000000" w:themeColor="text1"/>
              </w:rPr>
              <w:t>10.4</w:t>
            </w:r>
          </w:p>
        </w:tc>
        <w:tc>
          <w:tcPr>
            <w:tcW w:w="3160" w:type="pct"/>
            <w:vAlign w:val="center"/>
          </w:tcPr>
          <w:p w14:paraId="1DAACBAE">
            <w:pPr>
              <w:widowControl/>
              <w:adjustRightInd w:val="0"/>
              <w:snapToGrid w:val="0"/>
              <w:rPr>
                <w:color w:val="000000" w:themeColor="text1"/>
                <w:lang w:val="zh-CN"/>
              </w:rPr>
            </w:pPr>
            <w:r>
              <w:rPr>
                <w:rFonts w:hint="eastAsia"/>
                <w:color w:val="000000" w:themeColor="text1"/>
                <w:lang w:val="zh-CN"/>
              </w:rPr>
              <w:t>工程量清单中所列工程数量是估算的或设计的预计数量，仅作为投标报价的共同基础，不能作为最终结算与支付的依据。工程量清单中所列工程量的任何错误、遗漏和变动，丝毫不会降低或影响合同条款的效力，也不免除承包人按规定的义务和其应按图纸、规范履行合同的责任。</w:t>
            </w:r>
          </w:p>
          <w:p w14:paraId="35F0BA57">
            <w:pPr>
              <w:widowControl/>
              <w:adjustRightInd w:val="0"/>
              <w:snapToGrid w:val="0"/>
              <w:rPr>
                <w:color w:val="000000" w:themeColor="text1"/>
                <w:lang w:val="zh-CN"/>
              </w:rPr>
            </w:pPr>
            <w:r>
              <w:rPr>
                <w:rFonts w:hint="eastAsia"/>
                <w:color w:val="000000" w:themeColor="text1"/>
                <w:lang w:val="zh-CN"/>
              </w:rPr>
              <w:t>除非合同另有规定，工程量清单中有标价的单价和总额价均已包括了实施和完成合同工程所需的劳务、材料、机械、质检（自检）、安装、缺陷修复、管理、保险、税费、利润等费用，以及合同明示或暗示的所有责任、义务和一般风险。</w:t>
            </w:r>
          </w:p>
          <w:p w14:paraId="7BCF6537">
            <w:pPr>
              <w:widowControl/>
              <w:adjustRightInd w:val="0"/>
              <w:snapToGrid w:val="0"/>
              <w:rPr>
                <w:color w:val="000000" w:themeColor="text1"/>
                <w:lang w:val="zh-CN"/>
              </w:rPr>
            </w:pPr>
            <w:r>
              <w:rPr>
                <w:rFonts w:hint="eastAsia"/>
                <w:color w:val="000000" w:themeColor="text1"/>
                <w:lang w:val="zh-CN"/>
              </w:rPr>
              <w:t>投标人应认真填写工程量清单中所列工程细目的单价、合价和总额价。</w:t>
            </w:r>
          </w:p>
          <w:p w14:paraId="218132D7">
            <w:pPr>
              <w:widowControl/>
              <w:adjustRightInd w:val="0"/>
              <w:snapToGrid w:val="0"/>
              <w:rPr>
                <w:color w:val="000000" w:themeColor="text1"/>
                <w:lang w:val="zh-CN"/>
              </w:rPr>
            </w:pPr>
            <w:r>
              <w:rPr>
                <w:rFonts w:hint="eastAsia"/>
                <w:color w:val="000000" w:themeColor="text1"/>
                <w:lang w:val="zh-CN"/>
              </w:rPr>
              <w:t>工程量清单中投标人没有填入单价或价格的子目，其费用视为已分摊在工程量清单中其他相关子目的单价或价格之中，发包人将不予支付。承包人仍应按照</w:t>
            </w:r>
            <w:r>
              <w:rPr>
                <w:rFonts w:hint="eastAsia"/>
                <w:color w:val="000000" w:themeColor="text1"/>
              </w:rPr>
              <w:t>发包</w:t>
            </w:r>
            <w:r>
              <w:rPr>
                <w:rFonts w:hint="eastAsia"/>
                <w:color w:val="000000" w:themeColor="text1"/>
                <w:lang w:val="zh-CN"/>
              </w:rPr>
              <w:t>人指令完成工程量中未填入单价或总额价的子目，但不能得到结算与支付。</w:t>
            </w:r>
          </w:p>
          <w:p w14:paraId="599858CF">
            <w:pPr>
              <w:widowControl/>
              <w:adjustRightInd w:val="0"/>
              <w:snapToGrid w:val="0"/>
              <w:rPr>
                <w:color w:val="000000" w:themeColor="text1"/>
                <w:lang w:val="zh-CN"/>
              </w:rPr>
            </w:pPr>
            <w:r>
              <w:rPr>
                <w:rFonts w:hint="eastAsia"/>
                <w:color w:val="000000" w:themeColor="text1"/>
                <w:lang w:val="zh-CN"/>
              </w:rPr>
              <w:t>符合合同条款规定的全部费用应认为已被计入有标价的工程量清单所列各子目之中，未列子目不予计量的工作，其费用应视为分摊在相应合同工程的有关子目的单价或总额价中。</w:t>
            </w:r>
          </w:p>
          <w:p w14:paraId="317F8B9B">
            <w:pPr>
              <w:widowControl/>
              <w:adjustRightInd w:val="0"/>
              <w:snapToGrid w:val="0"/>
              <w:rPr>
                <w:color w:val="000000" w:themeColor="text1"/>
                <w:lang w:val="zh-CN"/>
              </w:rPr>
            </w:pPr>
            <w:r>
              <w:rPr>
                <w:rFonts w:hint="eastAsia"/>
                <w:color w:val="000000" w:themeColor="text1"/>
                <w:lang w:val="zh-CN"/>
              </w:rPr>
              <w:t>本次招标采用工程量固化清单，投标人编制报价工程量清单时，只需按照设定的格式填入单价（招标人指定单价项目，投标人不得修改），投标人不得对招标人给定的工程量清单进行修改（包括细目名称、细目号、工程数量及指定单价项目的单价、运算定义等），若投标人擅自修改工程量清单或者投标人的报价发生了算术性修正，属重大偏差，投标文件按否决投标处理。</w:t>
            </w:r>
          </w:p>
        </w:tc>
      </w:tr>
      <w:tr w14:paraId="54FB59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9" w:type="pct"/>
            <w:gridSpan w:val="2"/>
            <w:vAlign w:val="center"/>
          </w:tcPr>
          <w:p w14:paraId="5CD81D76">
            <w:pPr>
              <w:widowControl/>
              <w:adjustRightInd w:val="0"/>
              <w:snapToGrid w:val="0"/>
              <w:jc w:val="center"/>
              <w:rPr>
                <w:color w:val="000000" w:themeColor="text1"/>
              </w:rPr>
            </w:pPr>
            <w:r>
              <w:rPr>
                <w:rFonts w:hint="eastAsia"/>
                <w:color w:val="000000" w:themeColor="text1"/>
              </w:rPr>
              <w:t>10.5</w:t>
            </w:r>
          </w:p>
        </w:tc>
        <w:tc>
          <w:tcPr>
            <w:tcW w:w="3160" w:type="pct"/>
            <w:vAlign w:val="center"/>
          </w:tcPr>
          <w:p w14:paraId="587FB25E">
            <w:pPr>
              <w:widowControl/>
              <w:adjustRightInd w:val="0"/>
              <w:snapToGrid w:val="0"/>
              <w:rPr>
                <w:color w:val="000000" w:themeColor="text1"/>
                <w:lang w:val="zh-CN"/>
              </w:rPr>
            </w:pPr>
            <w:r>
              <w:rPr>
                <w:rFonts w:hint="eastAsia"/>
                <w:color w:val="000000" w:themeColor="text1"/>
                <w:lang w:val="zh-CN"/>
              </w:rPr>
              <w:t>增加：</w:t>
            </w:r>
          </w:p>
          <w:p w14:paraId="14CEB400">
            <w:pPr>
              <w:widowControl/>
              <w:adjustRightInd w:val="0"/>
              <w:snapToGrid w:val="0"/>
              <w:rPr>
                <w:color w:val="000000" w:themeColor="text1"/>
                <w:lang w:val="zh-CN"/>
              </w:rPr>
            </w:pPr>
            <w:r>
              <w:rPr>
                <w:rFonts w:hint="eastAsia"/>
                <w:color w:val="000000" w:themeColor="text1"/>
                <w:lang w:val="zh-CN"/>
              </w:rPr>
              <w:t>6.3.3评标委员会应当根据《中华人民共和国招标投标实施条例》第三十九条、第四十条、第四十一条的有关规定，对在评标过程中发现的投标人与投标人之间、投标人与招标人之间存在的串通投标的情形进行评审和认定；存在串通投标情形的，评标委员会应当予以否决其投标。投标人以他人名义投标、以行贿手段谋取中标，或者投标弄虚作假的，评标委员会应当否决其投标。</w:t>
            </w:r>
          </w:p>
        </w:tc>
      </w:tr>
    </w:tbl>
    <w:p w14:paraId="282ADB62">
      <w:pPr>
        <w:pStyle w:val="2"/>
        <w:spacing w:before="0" w:after="0" w:line="360" w:lineRule="auto"/>
        <w:ind w:firstLine="486" w:firstLineChars="200"/>
        <w:rPr>
          <w:rFonts w:ascii="宋体" w:hAnsi="宋体" w:cs="宋体"/>
          <w:b w:val="0"/>
          <w:sz w:val="21"/>
          <w:szCs w:val="21"/>
        </w:rPr>
      </w:pPr>
      <w:r>
        <w:rPr>
          <w:rFonts w:hint="eastAsia" w:cs="宋体"/>
          <w:color w:val="000000" w:themeColor="text1"/>
          <w:spacing w:val="1"/>
          <w:sz w:val="24"/>
          <w:szCs w:val="24"/>
        </w:rPr>
        <w:br w:type="page"/>
      </w:r>
      <w:bookmarkEnd w:id="70"/>
      <w:bookmarkEnd w:id="71"/>
      <w:bookmarkEnd w:id="72"/>
      <w:bookmarkEnd w:id="73"/>
      <w:bookmarkEnd w:id="74"/>
      <w:bookmarkEnd w:id="75"/>
      <w:bookmarkEnd w:id="76"/>
      <w:bookmarkEnd w:id="77"/>
      <w:bookmarkEnd w:id="78"/>
      <w:r>
        <w:rPr>
          <w:rFonts w:hint="eastAsia" w:ascii="宋体" w:hAnsi="宋体" w:cs="宋体"/>
          <w:b w:val="0"/>
          <w:sz w:val="21"/>
          <w:szCs w:val="21"/>
        </w:rPr>
        <w:t>1. 总则</w:t>
      </w:r>
    </w:p>
    <w:p w14:paraId="7A9D46F7">
      <w:pPr>
        <w:pStyle w:val="2"/>
        <w:spacing w:before="0" w:after="0" w:line="360" w:lineRule="auto"/>
        <w:ind w:firstLine="420" w:firstLineChars="200"/>
        <w:rPr>
          <w:rFonts w:ascii="宋体" w:hAnsi="宋体" w:cs="宋体"/>
          <w:b w:val="0"/>
          <w:sz w:val="21"/>
          <w:szCs w:val="21"/>
        </w:rPr>
      </w:pPr>
      <w:bookmarkStart w:id="82" w:name="_Toc517787504"/>
      <w:bookmarkStart w:id="83" w:name="_Toc234832871"/>
      <w:r>
        <w:rPr>
          <w:rFonts w:hint="eastAsia" w:ascii="宋体" w:hAnsi="宋体" w:cs="宋体"/>
          <w:b w:val="0"/>
          <w:sz w:val="21"/>
          <w:szCs w:val="21"/>
        </w:rPr>
        <w:t>1.1 项目概况</w:t>
      </w:r>
      <w:bookmarkEnd w:id="82"/>
      <w:bookmarkEnd w:id="83"/>
    </w:p>
    <w:p w14:paraId="04484509">
      <w:pPr>
        <w:spacing w:line="360" w:lineRule="auto"/>
        <w:ind w:firstLine="420" w:firstLineChars="200"/>
        <w:rPr>
          <w:rFonts w:ascii="宋体" w:hAnsi="宋体" w:cs="宋体"/>
        </w:rPr>
      </w:pPr>
      <w:r>
        <w:rPr>
          <w:rFonts w:hint="eastAsia" w:ascii="宋体" w:hAnsi="宋体" w:cs="宋体"/>
        </w:rPr>
        <w:t>1.1.1 根据《中华人民共和国招标投标法》《中华人民共和国招标投标法实施条例》《江苏省国有资金投资工程建设项目招标投标管理办法》《省交通运输厅关于进一步规范公路水运工程建设项目招标投标活动的通知》（苏交规〔2019〕1号）等有关法律、法规和规章的规定，本招标项目已具备招标条件，现对本标段施工进行招标。</w:t>
      </w:r>
    </w:p>
    <w:p w14:paraId="008A34F0">
      <w:pPr>
        <w:spacing w:line="360" w:lineRule="auto"/>
        <w:ind w:firstLine="420" w:firstLineChars="200"/>
        <w:rPr>
          <w:rFonts w:ascii="宋体" w:hAnsi="宋体" w:cs="宋体"/>
        </w:rPr>
      </w:pPr>
      <w:r>
        <w:rPr>
          <w:rFonts w:hint="eastAsia" w:ascii="宋体" w:hAnsi="宋体" w:cs="宋体"/>
        </w:rPr>
        <w:t>1.1.2 本招标项目招标人：见投标人须知前附表。</w:t>
      </w:r>
    </w:p>
    <w:p w14:paraId="4CB9D425">
      <w:pPr>
        <w:spacing w:line="360" w:lineRule="auto"/>
        <w:ind w:firstLine="420" w:firstLineChars="200"/>
        <w:rPr>
          <w:rFonts w:ascii="宋体" w:hAnsi="宋体" w:cs="宋体"/>
        </w:rPr>
      </w:pPr>
      <w:r>
        <w:rPr>
          <w:rFonts w:hint="eastAsia" w:ascii="宋体" w:hAnsi="宋体" w:cs="宋体"/>
        </w:rPr>
        <w:t>1.1.3 本标段招标代理机构：见投标人须知前附表。</w:t>
      </w:r>
    </w:p>
    <w:p w14:paraId="18DEFDE6">
      <w:pPr>
        <w:spacing w:line="360" w:lineRule="auto"/>
        <w:ind w:firstLine="420" w:firstLineChars="200"/>
        <w:rPr>
          <w:rFonts w:ascii="宋体" w:hAnsi="宋体" w:cs="宋体"/>
        </w:rPr>
      </w:pPr>
      <w:r>
        <w:rPr>
          <w:rFonts w:hint="eastAsia" w:ascii="宋体" w:hAnsi="宋体" w:cs="宋体"/>
        </w:rPr>
        <w:t>1.1.4 本招标项目名称：见投标人须知前附表。</w:t>
      </w:r>
    </w:p>
    <w:p w14:paraId="4368DD45">
      <w:pPr>
        <w:spacing w:line="360" w:lineRule="auto"/>
        <w:ind w:firstLine="420" w:firstLineChars="200"/>
        <w:rPr>
          <w:rFonts w:ascii="宋体" w:hAnsi="宋体" w:cs="宋体"/>
        </w:rPr>
      </w:pPr>
      <w:r>
        <w:rPr>
          <w:rFonts w:hint="eastAsia" w:ascii="宋体" w:hAnsi="宋体" w:cs="宋体"/>
        </w:rPr>
        <w:t>1.1.5 本标段建设地点：见投标人须知前附表。</w:t>
      </w:r>
    </w:p>
    <w:p w14:paraId="020A8ECD">
      <w:pPr>
        <w:pStyle w:val="2"/>
        <w:spacing w:before="0" w:after="0" w:line="360" w:lineRule="auto"/>
        <w:ind w:firstLine="420" w:firstLineChars="200"/>
        <w:rPr>
          <w:rFonts w:ascii="宋体" w:hAnsi="宋体" w:cs="宋体"/>
          <w:b w:val="0"/>
          <w:sz w:val="21"/>
          <w:szCs w:val="21"/>
        </w:rPr>
      </w:pPr>
      <w:bookmarkStart w:id="84" w:name="_Toc517787505"/>
      <w:bookmarkStart w:id="85" w:name="_Toc234832872"/>
      <w:r>
        <w:rPr>
          <w:rFonts w:hint="eastAsia" w:ascii="宋体" w:hAnsi="宋体" w:cs="宋体"/>
          <w:b w:val="0"/>
          <w:sz w:val="21"/>
          <w:szCs w:val="21"/>
        </w:rPr>
        <w:t>1.2 招标项目的资金来源和落实情况</w:t>
      </w:r>
      <w:bookmarkEnd w:id="84"/>
      <w:bookmarkEnd w:id="85"/>
    </w:p>
    <w:p w14:paraId="25EBF060">
      <w:pPr>
        <w:spacing w:line="360" w:lineRule="auto"/>
        <w:ind w:firstLine="420" w:firstLineChars="200"/>
        <w:rPr>
          <w:rFonts w:ascii="宋体" w:hAnsi="宋体" w:cs="宋体"/>
        </w:rPr>
      </w:pPr>
      <w:r>
        <w:rPr>
          <w:rFonts w:hint="eastAsia" w:ascii="宋体" w:hAnsi="宋体" w:cs="宋体"/>
        </w:rPr>
        <w:t>1.2.1 资金来源及比例：见投标人须知前附表。</w:t>
      </w:r>
    </w:p>
    <w:p w14:paraId="52A92C48">
      <w:pPr>
        <w:spacing w:line="360" w:lineRule="auto"/>
        <w:ind w:firstLine="420" w:firstLineChars="200"/>
        <w:rPr>
          <w:rFonts w:ascii="宋体" w:hAnsi="宋体" w:cs="宋体"/>
        </w:rPr>
      </w:pPr>
      <w:r>
        <w:rPr>
          <w:rFonts w:hint="eastAsia" w:ascii="宋体" w:hAnsi="宋体" w:cs="宋体"/>
        </w:rPr>
        <w:t>1.2.2 资金落实情况：见投标人须知前附表。</w:t>
      </w:r>
    </w:p>
    <w:p w14:paraId="2A974F8A">
      <w:pPr>
        <w:pStyle w:val="2"/>
        <w:spacing w:before="0" w:after="0" w:line="360" w:lineRule="auto"/>
        <w:ind w:firstLine="420" w:firstLineChars="200"/>
        <w:rPr>
          <w:rFonts w:ascii="宋体" w:hAnsi="宋体" w:cs="宋体"/>
          <w:b w:val="0"/>
          <w:sz w:val="21"/>
          <w:szCs w:val="21"/>
        </w:rPr>
      </w:pPr>
      <w:bookmarkStart w:id="86" w:name="_Toc234832873"/>
      <w:bookmarkStart w:id="87" w:name="_Toc517787506"/>
      <w:r>
        <w:rPr>
          <w:rFonts w:hint="eastAsia" w:ascii="宋体" w:hAnsi="宋体" w:cs="宋体"/>
          <w:b w:val="0"/>
          <w:sz w:val="21"/>
          <w:szCs w:val="21"/>
        </w:rPr>
        <w:t>1.3 招标范围、计划工期、质量要求</w:t>
      </w:r>
      <w:bookmarkEnd w:id="86"/>
      <w:r>
        <w:rPr>
          <w:rFonts w:hint="eastAsia" w:ascii="宋体" w:hAnsi="宋体" w:cs="宋体"/>
          <w:b w:val="0"/>
          <w:sz w:val="21"/>
          <w:szCs w:val="21"/>
        </w:rPr>
        <w:t>和安全目标</w:t>
      </w:r>
      <w:bookmarkEnd w:id="87"/>
    </w:p>
    <w:p w14:paraId="4F09A2E9">
      <w:pPr>
        <w:spacing w:line="360" w:lineRule="auto"/>
        <w:ind w:firstLine="420" w:firstLineChars="200"/>
        <w:rPr>
          <w:rFonts w:ascii="宋体" w:hAnsi="宋体" w:cs="宋体"/>
        </w:rPr>
      </w:pPr>
      <w:r>
        <w:rPr>
          <w:rFonts w:hint="eastAsia" w:ascii="宋体" w:hAnsi="宋体" w:cs="宋体"/>
        </w:rPr>
        <w:t>1.3.1 招标范围：见投标人须知前附表。</w:t>
      </w:r>
    </w:p>
    <w:p w14:paraId="101014CD">
      <w:pPr>
        <w:spacing w:line="360" w:lineRule="auto"/>
        <w:ind w:firstLine="420" w:firstLineChars="200"/>
        <w:rPr>
          <w:rFonts w:ascii="宋体" w:hAnsi="宋体" w:cs="宋体"/>
        </w:rPr>
      </w:pPr>
      <w:r>
        <w:rPr>
          <w:rFonts w:hint="eastAsia" w:ascii="宋体" w:hAnsi="宋体" w:cs="宋体"/>
        </w:rPr>
        <w:t>1.3.2 本标段的计划工期：见投标人须知前附表。</w:t>
      </w:r>
    </w:p>
    <w:p w14:paraId="39B6C255">
      <w:pPr>
        <w:spacing w:line="360" w:lineRule="auto"/>
        <w:ind w:firstLine="420" w:firstLineChars="200"/>
        <w:rPr>
          <w:rFonts w:ascii="宋体" w:hAnsi="宋体" w:cs="宋体"/>
        </w:rPr>
      </w:pPr>
      <w:r>
        <w:rPr>
          <w:rFonts w:hint="eastAsia" w:ascii="宋体" w:hAnsi="宋体" w:cs="宋体"/>
        </w:rPr>
        <w:t>1.3.3 本标段的质量要求：见投标人须知前附表。</w:t>
      </w:r>
    </w:p>
    <w:p w14:paraId="69A96E40">
      <w:pPr>
        <w:spacing w:line="360" w:lineRule="auto"/>
        <w:ind w:firstLine="420" w:firstLineChars="200"/>
        <w:rPr>
          <w:rFonts w:ascii="宋体" w:hAnsi="宋体" w:cs="宋体"/>
        </w:rPr>
      </w:pPr>
      <w:r>
        <w:rPr>
          <w:rFonts w:hint="eastAsia" w:ascii="宋体" w:hAnsi="宋体" w:cs="宋体"/>
        </w:rPr>
        <w:t>1.3.4 本标段的安全目标：见投标人须知前附表。</w:t>
      </w:r>
    </w:p>
    <w:p w14:paraId="32181663">
      <w:pPr>
        <w:pStyle w:val="2"/>
        <w:spacing w:before="0" w:after="0" w:line="360" w:lineRule="auto"/>
        <w:ind w:firstLine="420" w:firstLineChars="200"/>
        <w:rPr>
          <w:rFonts w:ascii="宋体" w:hAnsi="宋体" w:cs="宋体"/>
          <w:b w:val="0"/>
          <w:sz w:val="21"/>
          <w:szCs w:val="21"/>
        </w:rPr>
      </w:pPr>
      <w:bookmarkStart w:id="88" w:name="_Toc517787508"/>
      <w:bookmarkStart w:id="89" w:name="_Toc234832875"/>
      <w:r>
        <w:rPr>
          <w:rFonts w:hint="eastAsia" w:ascii="宋体" w:hAnsi="宋体" w:cs="宋体"/>
          <w:b w:val="0"/>
          <w:sz w:val="21"/>
          <w:szCs w:val="21"/>
        </w:rPr>
        <w:t>1.4 投标人资格要求</w:t>
      </w:r>
      <w:bookmarkEnd w:id="88"/>
      <w:bookmarkEnd w:id="89"/>
    </w:p>
    <w:p w14:paraId="09214BAE">
      <w:pPr>
        <w:topLinePunct/>
        <w:spacing w:line="360" w:lineRule="auto"/>
        <w:ind w:firstLine="420" w:firstLineChars="200"/>
        <w:rPr>
          <w:rFonts w:ascii="宋体" w:hAnsi="宋体" w:cs="宋体"/>
        </w:rPr>
      </w:pPr>
      <w:r>
        <w:rPr>
          <w:rFonts w:hint="eastAsia" w:ascii="宋体" w:hAnsi="宋体" w:cs="宋体"/>
        </w:rPr>
        <w:t>1.4.1 投标人应具备承担本标段施工的资质条件、能力和信誉。</w:t>
      </w:r>
    </w:p>
    <w:p w14:paraId="21F6B2E3">
      <w:pPr>
        <w:topLinePunct/>
        <w:spacing w:line="360" w:lineRule="auto"/>
        <w:ind w:firstLine="420" w:firstLineChars="200"/>
        <w:rPr>
          <w:rFonts w:ascii="宋体" w:hAnsi="宋体" w:cs="宋体"/>
        </w:rPr>
      </w:pPr>
      <w:r>
        <w:rPr>
          <w:rFonts w:hint="eastAsia" w:ascii="宋体" w:hAnsi="宋体" w:cs="宋体"/>
        </w:rPr>
        <w:t>（1）资质要求：见投标人须知前附表；</w:t>
      </w:r>
    </w:p>
    <w:p w14:paraId="34B77675">
      <w:pPr>
        <w:topLinePunct/>
        <w:spacing w:line="360" w:lineRule="auto"/>
        <w:ind w:firstLine="420" w:firstLineChars="200"/>
        <w:rPr>
          <w:rFonts w:ascii="宋体" w:hAnsi="宋体" w:cs="宋体"/>
        </w:rPr>
      </w:pPr>
      <w:r>
        <w:rPr>
          <w:rFonts w:hint="eastAsia" w:ascii="宋体" w:hAnsi="宋体" w:cs="宋体"/>
        </w:rPr>
        <w:t>（2）财务要求：见投标人须知前附表；</w:t>
      </w:r>
    </w:p>
    <w:p w14:paraId="3C27DEBA">
      <w:pPr>
        <w:topLinePunct/>
        <w:spacing w:line="360" w:lineRule="auto"/>
        <w:ind w:firstLine="420" w:firstLineChars="200"/>
        <w:rPr>
          <w:rFonts w:ascii="宋体" w:hAnsi="宋体" w:cs="宋体"/>
        </w:rPr>
      </w:pPr>
      <w:r>
        <w:rPr>
          <w:rFonts w:hint="eastAsia" w:ascii="宋体" w:hAnsi="宋体" w:cs="宋体"/>
        </w:rPr>
        <w:t>（3）业绩要求：见投标人须知前附表；</w:t>
      </w:r>
    </w:p>
    <w:p w14:paraId="3BAC9F42">
      <w:pPr>
        <w:topLinePunct/>
        <w:spacing w:line="360" w:lineRule="auto"/>
        <w:ind w:firstLine="420" w:firstLineChars="200"/>
        <w:rPr>
          <w:rFonts w:ascii="宋体" w:hAnsi="宋体" w:cs="宋体"/>
        </w:rPr>
      </w:pPr>
      <w:r>
        <w:rPr>
          <w:rFonts w:hint="eastAsia" w:ascii="宋体" w:hAnsi="宋体" w:cs="宋体"/>
        </w:rPr>
        <w:t>（4）信誉要求：见投标人须知前附表；</w:t>
      </w:r>
    </w:p>
    <w:p w14:paraId="59A687F4">
      <w:pPr>
        <w:topLinePunct/>
        <w:spacing w:line="360" w:lineRule="auto"/>
        <w:ind w:firstLine="420" w:firstLineChars="200"/>
        <w:rPr>
          <w:rFonts w:ascii="宋体" w:hAnsi="宋体" w:cs="宋体"/>
        </w:rPr>
      </w:pPr>
      <w:r>
        <w:rPr>
          <w:rFonts w:hint="eastAsia" w:ascii="宋体" w:hAnsi="宋体" w:cs="宋体"/>
        </w:rPr>
        <w:t>（5）项目经理资格要求：见投标人须知前附表；</w:t>
      </w:r>
    </w:p>
    <w:p w14:paraId="18051086">
      <w:pPr>
        <w:topLinePunct/>
        <w:spacing w:line="360" w:lineRule="auto"/>
        <w:ind w:firstLine="420" w:firstLineChars="200"/>
        <w:rPr>
          <w:rFonts w:ascii="宋体" w:hAnsi="宋体" w:cs="宋体"/>
        </w:rPr>
      </w:pPr>
      <w:r>
        <w:rPr>
          <w:rFonts w:hint="eastAsia" w:ascii="宋体" w:hAnsi="宋体" w:cs="宋体"/>
        </w:rPr>
        <w:t>（6）其他要求：见投标人须知前附表。</w:t>
      </w:r>
    </w:p>
    <w:p w14:paraId="55B8966E">
      <w:pPr>
        <w:spacing w:line="360" w:lineRule="auto"/>
        <w:ind w:firstLine="420" w:firstLineChars="200"/>
        <w:rPr>
          <w:rFonts w:ascii="宋体" w:hAnsi="宋体" w:cs="宋体"/>
        </w:rPr>
      </w:pPr>
      <w:r>
        <w:rPr>
          <w:rFonts w:hint="eastAsia" w:ascii="宋体" w:hAnsi="宋体" w:cs="宋体"/>
        </w:rPr>
        <w:t>需要提交的相关证明材料见本章第3.5款的规定。</w:t>
      </w:r>
    </w:p>
    <w:p w14:paraId="34845BF1">
      <w:pPr>
        <w:spacing w:line="360" w:lineRule="auto"/>
        <w:ind w:firstLine="420" w:firstLineChars="200"/>
        <w:rPr>
          <w:rFonts w:ascii="宋体" w:hAnsi="宋体" w:cs="宋体"/>
        </w:rPr>
      </w:pPr>
      <w:r>
        <w:rPr>
          <w:rFonts w:hint="eastAsia" w:ascii="宋体" w:hAnsi="宋体" w:cs="宋体"/>
        </w:rPr>
        <w:t>1.4.2 投标人须知前附表规定接受联合体投标的，联合体除应符合本章第1.4.1项和投标人须知前附表的要求外，还应遵守以下规定：</w:t>
      </w:r>
    </w:p>
    <w:p w14:paraId="1F03B65B">
      <w:pPr>
        <w:spacing w:line="360" w:lineRule="auto"/>
        <w:ind w:firstLine="420" w:firstLineChars="200"/>
        <w:rPr>
          <w:rFonts w:ascii="宋体" w:hAnsi="宋体" w:cs="宋体"/>
        </w:rPr>
      </w:pPr>
      <w:r>
        <w:rPr>
          <w:rFonts w:hint="eastAsia" w:ascii="宋体" w:hAnsi="宋体" w:cs="宋体"/>
        </w:rPr>
        <w:t>（1）联合体各方应按招标文件提供的格式签订联合体协议书，明确联合体牵头人和各方权利义务，并承诺就中标项目向招标人承担连带责任；</w:t>
      </w:r>
    </w:p>
    <w:p w14:paraId="6B1B9E7E">
      <w:pPr>
        <w:spacing w:line="360" w:lineRule="auto"/>
        <w:ind w:firstLine="420" w:firstLineChars="200"/>
        <w:rPr>
          <w:rFonts w:ascii="宋体" w:hAnsi="宋体" w:cs="宋体"/>
        </w:rPr>
      </w:pPr>
      <w:r>
        <w:rPr>
          <w:rFonts w:hint="eastAsia" w:ascii="宋体" w:hAnsi="宋体" w:cs="宋体"/>
        </w:rPr>
        <w:t>（2）由同一专业的单位组成的联合体，按照资质等级较低的单位确定资质等级；</w:t>
      </w:r>
    </w:p>
    <w:p w14:paraId="1B239A51">
      <w:pPr>
        <w:spacing w:line="360" w:lineRule="auto"/>
        <w:ind w:firstLine="420" w:firstLineChars="200"/>
        <w:rPr>
          <w:rFonts w:ascii="宋体" w:hAnsi="宋体" w:cs="宋体"/>
        </w:rPr>
      </w:pPr>
      <w:r>
        <w:rPr>
          <w:rFonts w:hint="eastAsia" w:ascii="宋体" w:hAnsi="宋体" w:cs="宋体"/>
        </w:rPr>
        <w:t>（3）联合体各方不得再以自己名义单独或参加其他联合体在同一标段中投标；</w:t>
      </w:r>
    </w:p>
    <w:p w14:paraId="2E23ADE0">
      <w:pPr>
        <w:pStyle w:val="18"/>
        <w:topLinePunct/>
        <w:spacing w:line="360" w:lineRule="auto"/>
        <w:ind w:firstLine="420" w:firstLineChars="200"/>
        <w:rPr>
          <w:rFonts w:hAnsi="宋体"/>
          <w:sz w:val="21"/>
          <w:szCs w:val="21"/>
        </w:rPr>
      </w:pPr>
      <w:r>
        <w:rPr>
          <w:rFonts w:hint="eastAsia" w:hAnsi="宋体"/>
          <w:sz w:val="21"/>
          <w:szCs w:val="21"/>
        </w:rPr>
        <w:t>（4）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14:paraId="047AE5DD">
      <w:pPr>
        <w:pStyle w:val="18"/>
        <w:topLinePunct/>
        <w:spacing w:line="360" w:lineRule="auto"/>
        <w:ind w:firstLine="420" w:firstLineChars="200"/>
        <w:rPr>
          <w:rFonts w:hAnsi="宋体"/>
          <w:sz w:val="21"/>
          <w:szCs w:val="21"/>
        </w:rPr>
      </w:pPr>
      <w:r>
        <w:rPr>
          <w:rFonts w:hint="eastAsia" w:hAnsi="宋体"/>
          <w:sz w:val="21"/>
          <w:szCs w:val="21"/>
        </w:rPr>
        <w:t>（5）尽管委任了联合体牵头人，但联合体各成员在投标、签订合同与履行合同过程中，仍负有连带的和各自的法律责任。</w:t>
      </w:r>
    </w:p>
    <w:p w14:paraId="7E994640">
      <w:pPr>
        <w:spacing w:line="360" w:lineRule="auto"/>
        <w:ind w:firstLine="420" w:firstLineChars="200"/>
        <w:rPr>
          <w:rFonts w:ascii="宋体" w:hAnsi="宋体" w:cs="宋体"/>
        </w:rPr>
      </w:pPr>
      <w:r>
        <w:rPr>
          <w:rFonts w:hint="eastAsia" w:ascii="宋体" w:hAnsi="宋体" w:cs="宋体"/>
        </w:rPr>
        <w:t>（6）联合体协议应当明确各成员在合同工程中所承担的专业工程或工作内容及范围。联合体各方应当具备联合体协议书中承担相应专业工程的资质；不承担联合体协议中相关专业工程的成员，其相关的专业资质不作为该联合体该专业的资质进行资格审查；</w:t>
      </w:r>
    </w:p>
    <w:p w14:paraId="3E30E3B8">
      <w:pPr>
        <w:spacing w:line="360" w:lineRule="auto"/>
        <w:ind w:firstLine="420" w:firstLineChars="200"/>
        <w:rPr>
          <w:rFonts w:ascii="宋体" w:hAnsi="宋体" w:cs="宋体"/>
        </w:rPr>
      </w:pPr>
      <w:r>
        <w:rPr>
          <w:rFonts w:hint="eastAsia" w:ascii="宋体" w:hAnsi="宋体" w:cs="宋体"/>
        </w:rPr>
        <w:t>（7）联合体信用等级按联合体成员最低信用等级确定。</w:t>
      </w:r>
    </w:p>
    <w:p w14:paraId="5F45E85C">
      <w:pPr>
        <w:tabs>
          <w:tab w:val="left" w:pos="360"/>
          <w:tab w:val="left" w:pos="540"/>
        </w:tabs>
        <w:spacing w:line="360" w:lineRule="auto"/>
        <w:ind w:firstLine="420" w:firstLineChars="200"/>
        <w:rPr>
          <w:rFonts w:ascii="宋体" w:hAnsi="宋体" w:cs="宋体"/>
        </w:rPr>
      </w:pPr>
      <w:r>
        <w:rPr>
          <w:rFonts w:hint="eastAsia" w:ascii="宋体" w:hAnsi="宋体" w:cs="宋体"/>
        </w:rPr>
        <w:t>1.4.3 投标人（包括联合体各成员）不得与本标段相关单位存在下列关联关系：</w:t>
      </w:r>
    </w:p>
    <w:p w14:paraId="4024366E">
      <w:pPr>
        <w:pStyle w:val="18"/>
        <w:topLinePunct/>
        <w:spacing w:line="360" w:lineRule="auto"/>
        <w:ind w:firstLine="420" w:firstLineChars="200"/>
        <w:rPr>
          <w:rFonts w:hAnsi="宋体"/>
          <w:sz w:val="21"/>
          <w:szCs w:val="21"/>
        </w:rPr>
      </w:pPr>
      <w:r>
        <w:rPr>
          <w:rFonts w:hint="eastAsia" w:hAnsi="宋体"/>
          <w:sz w:val="21"/>
          <w:szCs w:val="21"/>
        </w:rPr>
        <w:t>（1）为招标人不具有独立法人资格的附属机构（单位）；</w:t>
      </w:r>
    </w:p>
    <w:p w14:paraId="223D7C68">
      <w:pPr>
        <w:pStyle w:val="18"/>
        <w:topLinePunct/>
        <w:spacing w:line="360" w:lineRule="auto"/>
        <w:ind w:firstLine="420" w:firstLineChars="200"/>
        <w:rPr>
          <w:rFonts w:hAnsi="宋体"/>
          <w:sz w:val="21"/>
          <w:szCs w:val="21"/>
        </w:rPr>
      </w:pPr>
      <w:r>
        <w:rPr>
          <w:rFonts w:hint="eastAsia" w:hAnsi="宋体"/>
          <w:sz w:val="21"/>
          <w:szCs w:val="21"/>
        </w:rPr>
        <w:t>（2）与招标人存在利害关系且可能影响招标公正性；</w:t>
      </w:r>
    </w:p>
    <w:p w14:paraId="7289F054">
      <w:pPr>
        <w:pStyle w:val="18"/>
        <w:topLinePunct/>
        <w:spacing w:line="360" w:lineRule="auto"/>
        <w:ind w:firstLine="420" w:firstLineChars="200"/>
        <w:rPr>
          <w:rFonts w:hAnsi="宋体"/>
          <w:sz w:val="21"/>
          <w:szCs w:val="21"/>
        </w:rPr>
      </w:pPr>
      <w:r>
        <w:rPr>
          <w:rFonts w:hint="eastAsia" w:hAnsi="宋体"/>
          <w:sz w:val="21"/>
          <w:szCs w:val="21"/>
        </w:rPr>
        <w:t>（3）与本标段的其他投标人单位负责人为同一个人；</w:t>
      </w:r>
    </w:p>
    <w:p w14:paraId="16F8BDF9">
      <w:pPr>
        <w:pStyle w:val="18"/>
        <w:topLinePunct/>
        <w:spacing w:line="360" w:lineRule="auto"/>
        <w:ind w:firstLine="420" w:firstLineChars="200"/>
        <w:rPr>
          <w:rFonts w:hAnsi="宋体"/>
          <w:sz w:val="21"/>
          <w:szCs w:val="21"/>
        </w:rPr>
      </w:pPr>
      <w:r>
        <w:rPr>
          <w:rFonts w:hint="eastAsia" w:hAnsi="宋体"/>
          <w:sz w:val="21"/>
          <w:szCs w:val="21"/>
        </w:rPr>
        <w:t>（4）与本标段的其他投标人存在控股、管理关系；</w:t>
      </w:r>
    </w:p>
    <w:p w14:paraId="77A5364C">
      <w:pPr>
        <w:pStyle w:val="18"/>
        <w:topLinePunct/>
        <w:spacing w:line="360" w:lineRule="auto"/>
        <w:ind w:firstLine="420" w:firstLineChars="200"/>
        <w:rPr>
          <w:rFonts w:hAnsi="宋体"/>
          <w:sz w:val="21"/>
          <w:szCs w:val="21"/>
        </w:rPr>
      </w:pPr>
      <w:r>
        <w:rPr>
          <w:rFonts w:hint="eastAsia" w:hAnsi="宋体"/>
          <w:sz w:val="21"/>
          <w:szCs w:val="21"/>
        </w:rPr>
        <w:t>（5）为本标段前期准备提供设计或咨询服务的法人或其任何附属机构（单位）；</w:t>
      </w:r>
    </w:p>
    <w:p w14:paraId="2ED956A5">
      <w:pPr>
        <w:pStyle w:val="18"/>
        <w:topLinePunct/>
        <w:spacing w:line="360" w:lineRule="auto"/>
        <w:ind w:firstLine="420" w:firstLineChars="200"/>
        <w:rPr>
          <w:rFonts w:hAnsi="宋体"/>
          <w:sz w:val="21"/>
          <w:szCs w:val="21"/>
        </w:rPr>
      </w:pPr>
      <w:r>
        <w:rPr>
          <w:rFonts w:hint="eastAsia" w:hAnsi="宋体"/>
          <w:sz w:val="21"/>
          <w:szCs w:val="21"/>
        </w:rPr>
        <w:t>（6）为本标段的监理人；</w:t>
      </w:r>
    </w:p>
    <w:p w14:paraId="6661A713">
      <w:pPr>
        <w:pStyle w:val="18"/>
        <w:topLinePunct/>
        <w:spacing w:line="360" w:lineRule="auto"/>
        <w:ind w:firstLine="420" w:firstLineChars="200"/>
        <w:rPr>
          <w:rFonts w:hAnsi="宋体"/>
          <w:sz w:val="21"/>
          <w:szCs w:val="21"/>
        </w:rPr>
      </w:pPr>
      <w:r>
        <w:rPr>
          <w:rFonts w:hint="eastAsia" w:hAnsi="宋体"/>
          <w:sz w:val="21"/>
          <w:szCs w:val="21"/>
        </w:rPr>
        <w:t>（7）为本标段的代建人；</w:t>
      </w:r>
    </w:p>
    <w:p w14:paraId="03DBFE01">
      <w:pPr>
        <w:pStyle w:val="18"/>
        <w:topLinePunct/>
        <w:spacing w:line="360" w:lineRule="auto"/>
        <w:ind w:firstLine="420" w:firstLineChars="200"/>
        <w:rPr>
          <w:rFonts w:hAnsi="宋体"/>
          <w:sz w:val="21"/>
          <w:szCs w:val="21"/>
        </w:rPr>
      </w:pPr>
      <w:r>
        <w:rPr>
          <w:rFonts w:hint="eastAsia" w:hAnsi="宋体"/>
          <w:sz w:val="21"/>
          <w:szCs w:val="21"/>
        </w:rPr>
        <w:t>（8）为本标段的招标代理机构；</w:t>
      </w:r>
    </w:p>
    <w:p w14:paraId="656D2291">
      <w:pPr>
        <w:pStyle w:val="18"/>
        <w:topLinePunct/>
        <w:spacing w:line="360" w:lineRule="auto"/>
        <w:ind w:firstLine="420" w:firstLineChars="200"/>
        <w:rPr>
          <w:rFonts w:hAnsi="宋体"/>
          <w:sz w:val="21"/>
          <w:szCs w:val="21"/>
        </w:rPr>
      </w:pPr>
      <w:r>
        <w:rPr>
          <w:rFonts w:hint="eastAsia" w:hAnsi="宋体"/>
          <w:sz w:val="21"/>
          <w:szCs w:val="21"/>
        </w:rPr>
        <w:t>（9）与本标段的监理人或代建人或招标代理机构同为一个法定代表人；</w:t>
      </w:r>
    </w:p>
    <w:p w14:paraId="5A4B7C50">
      <w:pPr>
        <w:pStyle w:val="18"/>
        <w:topLinePunct/>
        <w:spacing w:line="360" w:lineRule="auto"/>
        <w:ind w:firstLine="420" w:firstLineChars="200"/>
        <w:rPr>
          <w:rFonts w:hAnsi="宋体"/>
          <w:sz w:val="21"/>
          <w:szCs w:val="21"/>
        </w:rPr>
      </w:pPr>
      <w:r>
        <w:rPr>
          <w:rFonts w:hint="eastAsia" w:hAnsi="宋体"/>
          <w:sz w:val="21"/>
          <w:szCs w:val="21"/>
        </w:rPr>
        <w:t>（10）与本标段的监理人或代建人或招标代理机构存在控股或参股关系；</w:t>
      </w:r>
    </w:p>
    <w:p w14:paraId="5E814EF6">
      <w:pPr>
        <w:pStyle w:val="18"/>
        <w:topLinePunct/>
        <w:spacing w:line="360" w:lineRule="auto"/>
        <w:ind w:firstLine="420" w:firstLineChars="200"/>
        <w:rPr>
          <w:rFonts w:hAnsi="宋体"/>
          <w:sz w:val="21"/>
          <w:szCs w:val="21"/>
        </w:rPr>
      </w:pPr>
      <w:r>
        <w:rPr>
          <w:rFonts w:hint="eastAsia" w:hAnsi="宋体"/>
          <w:sz w:val="21"/>
          <w:szCs w:val="21"/>
        </w:rPr>
        <w:t>（11）法律法规或投标人须知前附表规定的其他情形。</w:t>
      </w:r>
    </w:p>
    <w:p w14:paraId="0BF0D90F">
      <w:pPr>
        <w:tabs>
          <w:tab w:val="left" w:pos="360"/>
          <w:tab w:val="left" w:pos="540"/>
        </w:tabs>
        <w:spacing w:line="360" w:lineRule="auto"/>
        <w:ind w:firstLine="420" w:firstLineChars="200"/>
        <w:rPr>
          <w:rFonts w:ascii="宋体" w:hAnsi="宋体" w:cs="宋体"/>
        </w:rPr>
      </w:pPr>
      <w:r>
        <w:rPr>
          <w:rFonts w:hint="eastAsia" w:ascii="宋体" w:hAnsi="宋体" w:cs="宋体"/>
        </w:rPr>
        <w:t>1.4.4 投标人（包括联合体各成员）不得存在下列不良状况或不良信用记录：</w:t>
      </w:r>
    </w:p>
    <w:p w14:paraId="3AB71539">
      <w:pPr>
        <w:pStyle w:val="18"/>
        <w:topLinePunct/>
        <w:spacing w:line="360" w:lineRule="auto"/>
        <w:ind w:firstLine="420" w:firstLineChars="200"/>
        <w:rPr>
          <w:rFonts w:hAnsi="宋体"/>
          <w:sz w:val="21"/>
          <w:szCs w:val="21"/>
        </w:rPr>
      </w:pPr>
      <w:r>
        <w:rPr>
          <w:rFonts w:hint="eastAsia" w:hAnsi="宋体"/>
          <w:sz w:val="21"/>
          <w:szCs w:val="21"/>
        </w:rPr>
        <w:t>（1）被省级及以上交通运输主管部门取消招标项目所在地的投标资格且处于有效期内；</w:t>
      </w:r>
    </w:p>
    <w:p w14:paraId="16AFC5FB">
      <w:pPr>
        <w:pStyle w:val="18"/>
        <w:topLinePunct/>
        <w:spacing w:line="360" w:lineRule="auto"/>
        <w:ind w:firstLine="420" w:firstLineChars="200"/>
        <w:rPr>
          <w:rFonts w:hAnsi="宋体"/>
          <w:sz w:val="21"/>
          <w:szCs w:val="21"/>
        </w:rPr>
      </w:pPr>
      <w:r>
        <w:rPr>
          <w:rFonts w:hint="eastAsia" w:hAnsi="宋体"/>
          <w:sz w:val="21"/>
          <w:szCs w:val="21"/>
        </w:rPr>
        <w:t>（2）被责令停业，暂扣或吊销执照，或吊销资质证书；</w:t>
      </w:r>
    </w:p>
    <w:p w14:paraId="66C2508F">
      <w:pPr>
        <w:pStyle w:val="18"/>
        <w:topLinePunct/>
        <w:spacing w:line="360" w:lineRule="auto"/>
        <w:ind w:firstLine="420" w:firstLineChars="200"/>
        <w:rPr>
          <w:rFonts w:hAnsi="宋体"/>
          <w:sz w:val="21"/>
          <w:szCs w:val="21"/>
        </w:rPr>
      </w:pPr>
      <w:r>
        <w:rPr>
          <w:rFonts w:hint="eastAsia" w:hAnsi="宋体"/>
          <w:sz w:val="21"/>
          <w:szCs w:val="21"/>
        </w:rPr>
        <w:t>（3）进入清算程序，或被宣告破产，或其他丧失履约能力的情形；</w:t>
      </w:r>
    </w:p>
    <w:p w14:paraId="492E8BF8">
      <w:pPr>
        <w:pStyle w:val="18"/>
        <w:topLinePunct/>
        <w:spacing w:line="360" w:lineRule="auto"/>
        <w:ind w:firstLine="420" w:firstLineChars="200"/>
        <w:rPr>
          <w:rFonts w:hAnsi="宋体"/>
          <w:sz w:val="21"/>
          <w:szCs w:val="21"/>
        </w:rPr>
      </w:pPr>
      <w:r>
        <w:rPr>
          <w:rFonts w:hint="eastAsia" w:hAnsi="宋体"/>
          <w:sz w:val="21"/>
          <w:szCs w:val="21"/>
        </w:rPr>
        <w:t>（4）在国家企业信用信息公示系统（http://www.gsxt.gov.cn/）中被列入严重违法失信企业名单；</w:t>
      </w:r>
    </w:p>
    <w:p w14:paraId="663F4528">
      <w:pPr>
        <w:pStyle w:val="18"/>
        <w:topLinePunct/>
        <w:spacing w:line="360" w:lineRule="auto"/>
        <w:ind w:firstLine="420" w:firstLineChars="200"/>
        <w:rPr>
          <w:rFonts w:hAnsi="宋体"/>
          <w:sz w:val="21"/>
          <w:szCs w:val="21"/>
        </w:rPr>
      </w:pPr>
      <w:r>
        <w:rPr>
          <w:rFonts w:hint="eastAsia" w:hAnsi="宋体"/>
          <w:sz w:val="21"/>
          <w:szCs w:val="21"/>
        </w:rPr>
        <w:t>（5）在“信用中国”网站（http://www.creditchina.gov.cn/）中被列入失信被执行人名单；</w:t>
      </w:r>
    </w:p>
    <w:p w14:paraId="02DC1CE7">
      <w:pPr>
        <w:pStyle w:val="18"/>
        <w:topLinePunct/>
        <w:spacing w:line="360" w:lineRule="auto"/>
        <w:ind w:firstLine="420" w:firstLineChars="200"/>
        <w:rPr>
          <w:rFonts w:hAnsi="宋体"/>
          <w:sz w:val="21"/>
          <w:szCs w:val="21"/>
        </w:rPr>
      </w:pPr>
      <w:r>
        <w:rPr>
          <w:rFonts w:hint="eastAsia" w:hAnsi="宋体"/>
          <w:sz w:val="21"/>
          <w:szCs w:val="21"/>
        </w:rPr>
        <w:t>（6）投标人或其法定代表人、拟委任的项目经理在近三年内有行贿犯罪行为的；</w:t>
      </w:r>
    </w:p>
    <w:p w14:paraId="427DFA69">
      <w:pPr>
        <w:pStyle w:val="18"/>
        <w:topLinePunct/>
        <w:spacing w:line="360" w:lineRule="auto"/>
        <w:ind w:firstLine="420" w:firstLineChars="200"/>
        <w:rPr>
          <w:rFonts w:hAnsi="宋体"/>
          <w:sz w:val="21"/>
          <w:szCs w:val="21"/>
        </w:rPr>
      </w:pPr>
      <w:r>
        <w:rPr>
          <w:rFonts w:hint="eastAsia" w:hAnsi="宋体"/>
          <w:sz w:val="21"/>
          <w:szCs w:val="21"/>
        </w:rPr>
        <w:t>（7）法律法规或投标人须知前附表规定的其他情形。</w:t>
      </w:r>
    </w:p>
    <w:p w14:paraId="1C9A69F3">
      <w:pPr>
        <w:pStyle w:val="2"/>
        <w:spacing w:before="0" w:after="0" w:line="360" w:lineRule="auto"/>
        <w:ind w:firstLine="420" w:firstLineChars="200"/>
        <w:rPr>
          <w:rFonts w:ascii="宋体" w:hAnsi="宋体" w:cs="宋体"/>
          <w:b w:val="0"/>
          <w:sz w:val="21"/>
          <w:szCs w:val="21"/>
        </w:rPr>
      </w:pPr>
      <w:bookmarkStart w:id="90" w:name="_Toc517787509"/>
      <w:bookmarkStart w:id="91" w:name="_Toc234832876"/>
      <w:r>
        <w:rPr>
          <w:rFonts w:hint="eastAsia" w:ascii="宋体" w:hAnsi="宋体" w:cs="宋体"/>
          <w:b w:val="0"/>
          <w:sz w:val="21"/>
          <w:szCs w:val="21"/>
        </w:rPr>
        <w:t>1.5 费用承担</w:t>
      </w:r>
      <w:bookmarkEnd w:id="90"/>
      <w:bookmarkEnd w:id="91"/>
    </w:p>
    <w:p w14:paraId="26131EEC">
      <w:pPr>
        <w:spacing w:line="360" w:lineRule="auto"/>
        <w:ind w:firstLine="420" w:firstLineChars="200"/>
        <w:rPr>
          <w:rFonts w:ascii="宋体" w:hAnsi="宋体" w:cs="宋体"/>
        </w:rPr>
      </w:pPr>
      <w:r>
        <w:rPr>
          <w:rFonts w:hint="eastAsia" w:ascii="宋体" w:hAnsi="宋体" w:cs="宋体"/>
        </w:rPr>
        <w:t>投标人准备和参加投标活动发生的费用自理。</w:t>
      </w:r>
    </w:p>
    <w:p w14:paraId="3A047F46">
      <w:pPr>
        <w:pStyle w:val="2"/>
        <w:spacing w:before="0" w:after="0" w:line="360" w:lineRule="auto"/>
        <w:ind w:firstLine="420" w:firstLineChars="200"/>
        <w:rPr>
          <w:rFonts w:ascii="宋体" w:hAnsi="宋体" w:cs="宋体"/>
          <w:b w:val="0"/>
          <w:sz w:val="21"/>
          <w:szCs w:val="21"/>
        </w:rPr>
      </w:pPr>
      <w:bookmarkStart w:id="92" w:name="_Toc234832877"/>
      <w:bookmarkStart w:id="93" w:name="_Toc517787510"/>
      <w:r>
        <w:rPr>
          <w:rFonts w:hint="eastAsia" w:ascii="宋体" w:hAnsi="宋体" w:cs="宋体"/>
          <w:b w:val="0"/>
          <w:sz w:val="21"/>
          <w:szCs w:val="21"/>
        </w:rPr>
        <w:t>1.6 保密</w:t>
      </w:r>
      <w:bookmarkEnd w:id="92"/>
      <w:bookmarkEnd w:id="93"/>
    </w:p>
    <w:p w14:paraId="21B4C956">
      <w:pPr>
        <w:spacing w:line="360" w:lineRule="auto"/>
        <w:ind w:firstLine="420" w:firstLineChars="200"/>
        <w:rPr>
          <w:rFonts w:ascii="宋体" w:hAnsi="宋体" w:cs="宋体"/>
        </w:rPr>
      </w:pPr>
      <w:r>
        <w:rPr>
          <w:rFonts w:hint="eastAsia" w:ascii="宋体" w:hAnsi="宋体" w:cs="宋体"/>
        </w:rPr>
        <w:t>参与招标投标活动的各方应对招标文件和投标文件中的商业和技术等秘密保密，</w:t>
      </w:r>
      <w:r>
        <w:rPr>
          <w:rFonts w:hint="eastAsia" w:ascii="宋体" w:hAnsi="宋体" w:cs="宋体"/>
          <w:kern w:val="0"/>
        </w:rPr>
        <w:t>否则应承担相应的法律责任。</w:t>
      </w:r>
    </w:p>
    <w:p w14:paraId="728913B2">
      <w:pPr>
        <w:pStyle w:val="2"/>
        <w:spacing w:before="0" w:after="0" w:line="360" w:lineRule="auto"/>
        <w:ind w:firstLine="420" w:firstLineChars="200"/>
        <w:rPr>
          <w:rFonts w:ascii="宋体" w:hAnsi="宋体" w:cs="宋体"/>
          <w:b w:val="0"/>
          <w:sz w:val="21"/>
          <w:szCs w:val="21"/>
        </w:rPr>
      </w:pPr>
      <w:bookmarkStart w:id="94" w:name="_Toc517787511"/>
      <w:bookmarkStart w:id="95" w:name="_Toc234832878"/>
      <w:r>
        <w:rPr>
          <w:rFonts w:hint="eastAsia" w:ascii="宋体" w:hAnsi="宋体" w:cs="宋体"/>
          <w:b w:val="0"/>
          <w:sz w:val="21"/>
          <w:szCs w:val="21"/>
        </w:rPr>
        <w:t>1.7 语言文字</w:t>
      </w:r>
      <w:bookmarkEnd w:id="94"/>
      <w:bookmarkEnd w:id="95"/>
    </w:p>
    <w:p w14:paraId="2C018196">
      <w:pPr>
        <w:spacing w:line="360" w:lineRule="auto"/>
        <w:ind w:firstLine="420" w:firstLineChars="200"/>
        <w:rPr>
          <w:rFonts w:ascii="宋体" w:hAnsi="宋体" w:cs="宋体"/>
          <w:kern w:val="0"/>
        </w:rPr>
      </w:pPr>
      <w:r>
        <w:rPr>
          <w:rFonts w:hint="eastAsia" w:ascii="宋体" w:hAnsi="宋体" w:cs="宋体"/>
          <w:kern w:val="0"/>
        </w:rPr>
        <w:t>招标投标文件使用的语言文字为中文。专用术语使用外文的，应附有中文注释。</w:t>
      </w:r>
    </w:p>
    <w:p w14:paraId="4ABAD105">
      <w:pPr>
        <w:pStyle w:val="2"/>
        <w:spacing w:before="0" w:after="0" w:line="360" w:lineRule="auto"/>
        <w:ind w:firstLine="420" w:firstLineChars="200"/>
        <w:rPr>
          <w:rFonts w:ascii="宋体" w:hAnsi="宋体" w:cs="宋体"/>
          <w:b w:val="0"/>
          <w:sz w:val="21"/>
          <w:szCs w:val="21"/>
        </w:rPr>
      </w:pPr>
      <w:bookmarkStart w:id="96" w:name="_Toc517787512"/>
      <w:bookmarkStart w:id="97" w:name="_Toc234832879"/>
      <w:r>
        <w:rPr>
          <w:rFonts w:hint="eastAsia" w:ascii="宋体" w:hAnsi="宋体" w:cs="宋体"/>
          <w:b w:val="0"/>
          <w:sz w:val="21"/>
          <w:szCs w:val="21"/>
        </w:rPr>
        <w:t>1.8 计量单位</w:t>
      </w:r>
      <w:bookmarkEnd w:id="96"/>
      <w:bookmarkEnd w:id="97"/>
    </w:p>
    <w:p w14:paraId="435170B7">
      <w:pPr>
        <w:spacing w:line="360" w:lineRule="auto"/>
        <w:ind w:firstLine="420" w:firstLineChars="200"/>
        <w:rPr>
          <w:rFonts w:ascii="宋体" w:hAnsi="宋体" w:cs="宋体"/>
        </w:rPr>
      </w:pPr>
      <w:r>
        <w:rPr>
          <w:rFonts w:hint="eastAsia" w:ascii="宋体" w:hAnsi="宋体" w:cs="宋体"/>
        </w:rPr>
        <w:t>所有计量均采用中华人民共和国法定计量单位。</w:t>
      </w:r>
    </w:p>
    <w:p w14:paraId="2D36C032">
      <w:pPr>
        <w:pStyle w:val="2"/>
        <w:spacing w:before="0" w:after="0" w:line="360" w:lineRule="auto"/>
        <w:ind w:firstLine="420" w:firstLineChars="200"/>
        <w:rPr>
          <w:rFonts w:ascii="宋体" w:hAnsi="宋体" w:cs="宋体"/>
          <w:b w:val="0"/>
          <w:sz w:val="21"/>
          <w:szCs w:val="21"/>
        </w:rPr>
      </w:pPr>
      <w:bookmarkStart w:id="98" w:name="_Toc234832880"/>
      <w:bookmarkStart w:id="99" w:name="_Toc517787513"/>
      <w:r>
        <w:rPr>
          <w:rFonts w:hint="eastAsia" w:ascii="宋体" w:hAnsi="宋体" w:cs="宋体"/>
          <w:b w:val="0"/>
          <w:sz w:val="21"/>
          <w:szCs w:val="21"/>
        </w:rPr>
        <w:t>1.9 踏勘现场</w:t>
      </w:r>
      <w:bookmarkEnd w:id="98"/>
      <w:bookmarkEnd w:id="99"/>
    </w:p>
    <w:p w14:paraId="2D30C8DD">
      <w:pPr>
        <w:spacing w:line="360" w:lineRule="auto"/>
        <w:ind w:firstLine="420" w:firstLineChars="200"/>
        <w:rPr>
          <w:rFonts w:ascii="宋体" w:hAnsi="宋体" w:cs="宋体"/>
        </w:rPr>
      </w:pPr>
      <w:r>
        <w:rPr>
          <w:rFonts w:hint="eastAsia" w:ascii="宋体" w:hAnsi="宋体" w:cs="宋体"/>
        </w:rPr>
        <w:t>1.9.1 第一章“招标公告”或“投标邀请书”规定组织踏勘现场的，招标人按规定的时间、地点组织投标人踏勘项目现场。部分投标人未按时参加踏勘现场的，不影响踏勘现场的正常进行。招标人不得组织单个或部分投标人踏勘项目现场。</w:t>
      </w:r>
    </w:p>
    <w:p w14:paraId="135C8DA8">
      <w:pPr>
        <w:spacing w:line="360" w:lineRule="auto"/>
        <w:ind w:firstLine="420" w:firstLineChars="200"/>
        <w:rPr>
          <w:rFonts w:ascii="宋体" w:hAnsi="宋体" w:cs="宋体"/>
        </w:rPr>
      </w:pPr>
      <w:r>
        <w:rPr>
          <w:rFonts w:hint="eastAsia" w:ascii="宋体" w:hAnsi="宋体" w:cs="宋体"/>
        </w:rPr>
        <w:t>1.9.2 投标人踏勘现场发生的费用自理。</w:t>
      </w:r>
    </w:p>
    <w:p w14:paraId="71B81195">
      <w:pPr>
        <w:spacing w:line="360" w:lineRule="auto"/>
        <w:ind w:firstLine="420" w:firstLineChars="200"/>
        <w:rPr>
          <w:rFonts w:ascii="宋体" w:hAnsi="宋体" w:cs="宋体"/>
        </w:rPr>
      </w:pPr>
      <w:r>
        <w:rPr>
          <w:rFonts w:hint="eastAsia" w:ascii="宋体" w:hAnsi="宋体" w:cs="宋体"/>
        </w:rPr>
        <w:t>1.9.3 除招标人的原因外，投标人自行负责在踏勘现场中所发生的人员伤亡和财产损失。</w:t>
      </w:r>
    </w:p>
    <w:p w14:paraId="762DCD65">
      <w:pPr>
        <w:spacing w:line="360" w:lineRule="auto"/>
        <w:ind w:firstLine="420" w:firstLineChars="200"/>
        <w:rPr>
          <w:rFonts w:ascii="宋体" w:hAnsi="宋体" w:cs="宋体"/>
        </w:rPr>
      </w:pPr>
      <w:r>
        <w:rPr>
          <w:rFonts w:hint="eastAsia" w:ascii="宋体" w:hAnsi="宋体" w:cs="宋体"/>
        </w:rPr>
        <w:t>1.9.4 招标人在踏勘现场中介绍的工程场地和相关的周边环境情况，供投标人在编制投标文件时参考，招标人不对投标人据此作出的判断和决策负责。</w:t>
      </w:r>
    </w:p>
    <w:p w14:paraId="1BD8AB84">
      <w:pPr>
        <w:pStyle w:val="2"/>
        <w:spacing w:before="0" w:after="0" w:line="360" w:lineRule="auto"/>
        <w:ind w:firstLine="420" w:firstLineChars="200"/>
        <w:rPr>
          <w:rFonts w:ascii="宋体" w:hAnsi="宋体" w:cs="宋体"/>
          <w:b w:val="0"/>
          <w:sz w:val="21"/>
          <w:szCs w:val="21"/>
        </w:rPr>
      </w:pPr>
      <w:bookmarkStart w:id="100" w:name="_Toc234832881"/>
      <w:bookmarkStart w:id="101" w:name="_Toc517787514"/>
      <w:r>
        <w:rPr>
          <w:rFonts w:hint="eastAsia" w:ascii="宋体" w:hAnsi="宋体" w:cs="宋体"/>
          <w:b w:val="0"/>
          <w:sz w:val="21"/>
          <w:szCs w:val="21"/>
        </w:rPr>
        <w:t>1.10 投标预备会</w:t>
      </w:r>
      <w:bookmarkEnd w:id="100"/>
      <w:bookmarkEnd w:id="101"/>
    </w:p>
    <w:p w14:paraId="15439AEE">
      <w:pPr>
        <w:spacing w:line="360" w:lineRule="auto"/>
        <w:ind w:firstLine="420" w:firstLineChars="200"/>
        <w:rPr>
          <w:rFonts w:ascii="宋体" w:hAnsi="宋体" w:cs="宋体"/>
        </w:rPr>
      </w:pPr>
      <w:r>
        <w:rPr>
          <w:rFonts w:hint="eastAsia" w:ascii="宋体" w:hAnsi="宋体" w:cs="宋体"/>
        </w:rPr>
        <w:t>1.10.1 第一章“招标公告”或“投标邀请书”规定召开投标预备会的，招标人按规定的时间和地点召开投标预备会，澄清投标人提出的问题。</w:t>
      </w:r>
    </w:p>
    <w:p w14:paraId="2C16352C">
      <w:pPr>
        <w:pStyle w:val="18"/>
        <w:topLinePunct/>
        <w:spacing w:line="360" w:lineRule="auto"/>
        <w:ind w:firstLine="420" w:firstLineChars="200"/>
        <w:rPr>
          <w:rFonts w:hAnsi="宋体"/>
          <w:sz w:val="21"/>
          <w:szCs w:val="21"/>
        </w:rPr>
      </w:pPr>
      <w:r>
        <w:rPr>
          <w:rFonts w:hint="eastAsia" w:hAnsi="宋体"/>
          <w:sz w:val="21"/>
          <w:szCs w:val="21"/>
        </w:rPr>
        <w:t>1.10.2 投标人应按投标人须知前附表规定的时间和形式将提出的问题送达招标人，以便招标人在会议期间澄清。</w:t>
      </w:r>
    </w:p>
    <w:p w14:paraId="1F4228A1">
      <w:pPr>
        <w:pStyle w:val="18"/>
        <w:topLinePunct/>
        <w:spacing w:line="360" w:lineRule="auto"/>
        <w:ind w:firstLine="420" w:firstLineChars="200"/>
        <w:rPr>
          <w:rFonts w:hAnsi="宋体"/>
          <w:sz w:val="21"/>
          <w:szCs w:val="21"/>
        </w:rPr>
      </w:pPr>
      <w:r>
        <w:rPr>
          <w:rFonts w:hint="eastAsia" w:hAnsi="宋体"/>
          <w:sz w:val="21"/>
          <w:szCs w:val="21"/>
        </w:rPr>
        <w:t>1.10.3 投标预备会后，招标人将对投标人所提问题的澄清，以本章第2.2款规定的形式通知所有购买招标文件的投标人。该澄清内容为招标文件的组成部分。</w:t>
      </w:r>
    </w:p>
    <w:p w14:paraId="220746BF">
      <w:pPr>
        <w:pStyle w:val="2"/>
        <w:spacing w:before="0" w:after="0" w:line="360" w:lineRule="auto"/>
        <w:ind w:firstLine="420" w:firstLineChars="200"/>
        <w:rPr>
          <w:rFonts w:ascii="宋体" w:hAnsi="宋体" w:cs="宋体"/>
          <w:b w:val="0"/>
          <w:sz w:val="21"/>
          <w:szCs w:val="21"/>
        </w:rPr>
      </w:pPr>
      <w:bookmarkStart w:id="102" w:name="_Toc517787515"/>
      <w:bookmarkStart w:id="103" w:name="_Toc234832882"/>
      <w:r>
        <w:rPr>
          <w:rFonts w:hint="eastAsia" w:ascii="宋体" w:hAnsi="宋体" w:cs="宋体"/>
          <w:b w:val="0"/>
          <w:sz w:val="21"/>
          <w:szCs w:val="21"/>
        </w:rPr>
        <w:t>1.11 分包</w:t>
      </w:r>
      <w:bookmarkEnd w:id="102"/>
      <w:bookmarkEnd w:id="103"/>
    </w:p>
    <w:p w14:paraId="2B5C3269">
      <w:pPr>
        <w:pStyle w:val="18"/>
        <w:topLinePunct/>
        <w:spacing w:line="360" w:lineRule="auto"/>
        <w:ind w:firstLine="420" w:firstLineChars="200"/>
        <w:rPr>
          <w:rFonts w:hAnsi="宋体"/>
          <w:sz w:val="21"/>
          <w:szCs w:val="21"/>
        </w:rPr>
      </w:pPr>
      <w:r>
        <w:rPr>
          <w:rFonts w:hint="eastAsia" w:hAnsi="宋体"/>
          <w:sz w:val="21"/>
          <w:szCs w:val="21"/>
        </w:rPr>
        <w:t>1.11.1 投标人拟在中标后将中标项目的部分非主体、非关键性工作进行分包的，应符合以下规定：</w:t>
      </w:r>
    </w:p>
    <w:p w14:paraId="72ACE43D">
      <w:pPr>
        <w:pStyle w:val="18"/>
        <w:topLinePunct/>
        <w:spacing w:line="360" w:lineRule="auto"/>
        <w:ind w:firstLine="420" w:firstLineChars="200"/>
        <w:rPr>
          <w:rFonts w:hAnsi="宋体"/>
          <w:sz w:val="21"/>
          <w:szCs w:val="21"/>
        </w:rPr>
      </w:pPr>
      <w:r>
        <w:rPr>
          <w:rFonts w:hint="eastAsia" w:hAnsi="宋体"/>
          <w:sz w:val="21"/>
          <w:szCs w:val="21"/>
        </w:rPr>
        <w:t>（1）分包内容要求：允许分包的工程范围仅限于非关键性工程或适合专业化队伍施工的专项工程。招标人允许分包或不允许分包的专项工程（如有）应在投标人须知前附表中载明。</w:t>
      </w:r>
    </w:p>
    <w:p w14:paraId="10C2E0EB">
      <w:pPr>
        <w:pStyle w:val="18"/>
        <w:topLinePunct/>
        <w:spacing w:line="360" w:lineRule="auto"/>
        <w:ind w:firstLine="420" w:firstLineChars="200"/>
        <w:rPr>
          <w:rFonts w:hAnsi="宋体"/>
          <w:sz w:val="21"/>
          <w:szCs w:val="21"/>
        </w:rPr>
      </w:pPr>
      <w:r>
        <w:rPr>
          <w:rFonts w:hint="eastAsia" w:hAnsi="宋体"/>
          <w:sz w:val="21"/>
          <w:szCs w:val="21"/>
        </w:rPr>
        <w:t>（2）接受分包的第三人资格要求：分包人的资格能力应与其分包工程的标准和规模相适应，且具备投标人须知前附表中规定的资格条件。</w:t>
      </w:r>
    </w:p>
    <w:p w14:paraId="2B92CA6D">
      <w:pPr>
        <w:pStyle w:val="18"/>
        <w:topLinePunct/>
        <w:spacing w:line="360" w:lineRule="auto"/>
        <w:ind w:firstLine="420" w:firstLineChars="200"/>
        <w:rPr>
          <w:rFonts w:hAnsi="宋体"/>
          <w:sz w:val="21"/>
          <w:szCs w:val="21"/>
        </w:rPr>
      </w:pPr>
      <w:r>
        <w:rPr>
          <w:rFonts w:hint="eastAsia" w:hAnsi="宋体"/>
          <w:sz w:val="21"/>
          <w:szCs w:val="21"/>
        </w:rPr>
        <w:t>（3）其他要求：投标人如有分包计划，应按第九章“投标文件格式”的要求填写“拟分包项目情况表”，明确拟分包的工程及规模，且投标人中标后的分包应满足合同条款第4.3款的相关要求。</w:t>
      </w:r>
    </w:p>
    <w:p w14:paraId="442CCD07">
      <w:pPr>
        <w:pStyle w:val="18"/>
        <w:topLinePunct/>
        <w:spacing w:line="360" w:lineRule="auto"/>
        <w:ind w:firstLine="420" w:firstLineChars="200"/>
        <w:rPr>
          <w:rFonts w:hAnsi="宋体"/>
          <w:sz w:val="21"/>
          <w:szCs w:val="21"/>
        </w:rPr>
      </w:pPr>
      <w:r>
        <w:rPr>
          <w:rFonts w:hint="eastAsia" w:hAnsi="宋体"/>
          <w:sz w:val="21"/>
          <w:szCs w:val="21"/>
        </w:rPr>
        <w:t>1.11.2 中标人不得向他人转让中标项目，接受分包的人不得再次分包。中标人应就分包项目向招标人负责，接受分包的人就分包项目承担连带责任。</w:t>
      </w:r>
    </w:p>
    <w:p w14:paraId="5D1958E1">
      <w:pPr>
        <w:pStyle w:val="2"/>
        <w:spacing w:before="0" w:after="0" w:line="360" w:lineRule="auto"/>
        <w:ind w:firstLine="420" w:firstLineChars="200"/>
        <w:rPr>
          <w:rFonts w:ascii="宋体" w:hAnsi="宋体" w:cs="宋体"/>
          <w:b w:val="0"/>
          <w:sz w:val="21"/>
          <w:szCs w:val="21"/>
        </w:rPr>
      </w:pPr>
      <w:bookmarkStart w:id="104" w:name="_Toc234832883"/>
      <w:bookmarkStart w:id="105" w:name="_Toc517787516"/>
      <w:r>
        <w:rPr>
          <w:rFonts w:hint="eastAsia" w:ascii="宋体" w:hAnsi="宋体" w:cs="宋体"/>
          <w:b w:val="0"/>
          <w:sz w:val="21"/>
          <w:szCs w:val="21"/>
        </w:rPr>
        <w:t xml:space="preserve">1.12 </w:t>
      </w:r>
      <w:bookmarkEnd w:id="104"/>
      <w:r>
        <w:rPr>
          <w:rFonts w:hint="eastAsia" w:ascii="宋体" w:hAnsi="宋体" w:cs="宋体"/>
          <w:b w:val="0"/>
          <w:sz w:val="21"/>
          <w:szCs w:val="21"/>
        </w:rPr>
        <w:t>响应和偏差</w:t>
      </w:r>
      <w:bookmarkEnd w:id="105"/>
    </w:p>
    <w:p w14:paraId="4D3ED505">
      <w:pPr>
        <w:pStyle w:val="18"/>
        <w:topLinePunct/>
        <w:spacing w:line="360" w:lineRule="auto"/>
        <w:ind w:firstLine="420" w:firstLineChars="200"/>
        <w:rPr>
          <w:rFonts w:hAnsi="宋体"/>
          <w:sz w:val="21"/>
          <w:szCs w:val="21"/>
        </w:rPr>
      </w:pPr>
      <w:r>
        <w:rPr>
          <w:rFonts w:hint="eastAsia" w:hAnsi="宋体"/>
          <w:sz w:val="21"/>
          <w:szCs w:val="21"/>
        </w:rPr>
        <w:t>1.12.1 投标文件偏离招标文件某些要求，视为投标文件存在偏差。偏差包括重大偏差和细微偏差。</w:t>
      </w:r>
    </w:p>
    <w:p w14:paraId="4B87531F">
      <w:pPr>
        <w:pStyle w:val="18"/>
        <w:topLinePunct/>
        <w:spacing w:line="360" w:lineRule="auto"/>
        <w:ind w:firstLine="420" w:firstLineChars="200"/>
        <w:rPr>
          <w:rFonts w:hAnsi="宋体"/>
          <w:sz w:val="21"/>
          <w:szCs w:val="21"/>
        </w:rPr>
      </w:pPr>
      <w:r>
        <w:rPr>
          <w:rFonts w:hint="eastAsia" w:hAnsi="宋体"/>
          <w:sz w:val="21"/>
          <w:szCs w:val="21"/>
        </w:rPr>
        <w:t>1.12.2 投标文件应对招标文件的实质性要求和条件作出满足性或更有利于招标人的响应，否则，视为投标文件存在重大偏差，投标人的投标将被否决。</w:t>
      </w:r>
    </w:p>
    <w:p w14:paraId="10F39248">
      <w:pPr>
        <w:pStyle w:val="18"/>
        <w:topLinePunct/>
        <w:spacing w:line="360" w:lineRule="auto"/>
        <w:ind w:firstLine="420" w:firstLineChars="200"/>
        <w:rPr>
          <w:rFonts w:hAnsi="宋体"/>
          <w:sz w:val="21"/>
          <w:szCs w:val="21"/>
        </w:rPr>
      </w:pPr>
      <w:r>
        <w:rPr>
          <w:rFonts w:hint="eastAsia" w:hAnsi="宋体"/>
          <w:sz w:val="21"/>
          <w:szCs w:val="21"/>
        </w:rPr>
        <w:t>投标文件存在第三章“评标办法”中所列任一否决投标情形的，均属于存在重大偏差。</w:t>
      </w:r>
    </w:p>
    <w:p w14:paraId="1B01412D">
      <w:pPr>
        <w:pStyle w:val="18"/>
        <w:topLinePunct/>
        <w:spacing w:line="360" w:lineRule="auto"/>
        <w:ind w:firstLine="420" w:firstLineChars="200"/>
        <w:rPr>
          <w:rFonts w:hAnsi="宋体"/>
          <w:sz w:val="21"/>
          <w:szCs w:val="21"/>
        </w:rPr>
      </w:pPr>
      <w:r>
        <w:rPr>
          <w:rFonts w:hint="eastAsia" w:hAnsi="宋体"/>
          <w:sz w:val="21"/>
          <w:szCs w:val="21"/>
        </w:rPr>
        <w:t>1.12.3 投标文件中的下列偏差为细微偏差：</w:t>
      </w:r>
    </w:p>
    <w:p w14:paraId="6DD0B3D1">
      <w:pPr>
        <w:pStyle w:val="18"/>
        <w:topLinePunct/>
        <w:spacing w:line="360" w:lineRule="auto"/>
        <w:ind w:firstLine="420" w:firstLineChars="200"/>
        <w:rPr>
          <w:rFonts w:hAnsi="宋体"/>
          <w:sz w:val="21"/>
          <w:szCs w:val="21"/>
        </w:rPr>
      </w:pPr>
      <w:r>
        <w:rPr>
          <w:rFonts w:hint="eastAsia" w:hAnsi="宋体"/>
          <w:sz w:val="21"/>
          <w:szCs w:val="21"/>
        </w:rPr>
        <w:t>（1）项目管理机构不够完善；</w:t>
      </w:r>
    </w:p>
    <w:p w14:paraId="4F2DA288">
      <w:pPr>
        <w:pStyle w:val="18"/>
        <w:topLinePunct/>
        <w:spacing w:line="360" w:lineRule="auto"/>
        <w:ind w:firstLine="420" w:firstLineChars="200"/>
        <w:rPr>
          <w:rFonts w:hAnsi="宋体"/>
          <w:sz w:val="21"/>
          <w:szCs w:val="21"/>
        </w:rPr>
      </w:pPr>
      <w:r>
        <w:rPr>
          <w:rFonts w:hint="eastAsia" w:hAnsi="宋体"/>
          <w:sz w:val="21"/>
          <w:szCs w:val="21"/>
        </w:rPr>
        <w:t>（2）投标文件页码不连续、采用活页夹装订、个别文字有遗漏错误等不影响投标文件实质性内容的偏差。</w:t>
      </w:r>
    </w:p>
    <w:p w14:paraId="45B5C6A5">
      <w:pPr>
        <w:pStyle w:val="18"/>
        <w:topLinePunct/>
        <w:spacing w:line="360" w:lineRule="auto"/>
        <w:ind w:firstLine="420" w:firstLineChars="200"/>
        <w:rPr>
          <w:rFonts w:hAnsi="宋体"/>
          <w:sz w:val="21"/>
          <w:szCs w:val="21"/>
        </w:rPr>
      </w:pPr>
      <w:r>
        <w:rPr>
          <w:rFonts w:hint="eastAsia" w:hAnsi="宋体"/>
          <w:sz w:val="21"/>
          <w:szCs w:val="21"/>
        </w:rPr>
        <w:t>1.12.4 评标委员会对投标文件中的细微偏差按如下规定处理：</w:t>
      </w:r>
    </w:p>
    <w:p w14:paraId="59AFC962">
      <w:pPr>
        <w:pStyle w:val="18"/>
        <w:topLinePunct/>
        <w:spacing w:line="360" w:lineRule="auto"/>
        <w:ind w:firstLine="420" w:firstLineChars="200"/>
        <w:rPr>
          <w:rFonts w:hAnsi="宋体"/>
          <w:sz w:val="21"/>
          <w:szCs w:val="21"/>
        </w:rPr>
      </w:pPr>
      <w:r>
        <w:rPr>
          <w:rFonts w:hint="eastAsia" w:hAnsi="宋体"/>
          <w:sz w:val="21"/>
          <w:szCs w:val="21"/>
        </w:rPr>
        <w:t>（1）对于本章第1.12.3项（1）目所述的细微偏差，如果采用合理低价法或经评审的最低投标价法评标，应要求投标人对细微偏差进行澄清，只有投标人的澄清文件被评标委员会接受，投标人才能参加评标价的最终评比。如果采用技术评分最低标价法或综合评分法评标，可在相关评分因素的评分中酌情扣分；</w:t>
      </w:r>
    </w:p>
    <w:p w14:paraId="5DB40641">
      <w:pPr>
        <w:pStyle w:val="18"/>
        <w:topLinePunct/>
        <w:spacing w:line="360" w:lineRule="auto"/>
        <w:ind w:firstLine="420" w:firstLineChars="200"/>
        <w:rPr>
          <w:rFonts w:hAnsi="宋体"/>
          <w:sz w:val="21"/>
          <w:szCs w:val="21"/>
        </w:rPr>
      </w:pPr>
      <w:r>
        <w:rPr>
          <w:rFonts w:hint="eastAsia" w:hAnsi="宋体"/>
          <w:sz w:val="21"/>
          <w:szCs w:val="21"/>
        </w:rPr>
        <w:t>（2）对于本章第1.12.3项（2）目所述的细微偏差，可要求投标人对细微偏差进行澄清。</w:t>
      </w:r>
    </w:p>
    <w:p w14:paraId="4784A36C">
      <w:pPr>
        <w:pStyle w:val="18"/>
        <w:topLinePunct/>
        <w:spacing w:line="360" w:lineRule="auto"/>
        <w:ind w:firstLine="420" w:firstLineChars="200"/>
        <w:rPr>
          <w:rFonts w:hAnsi="宋体"/>
          <w:sz w:val="21"/>
          <w:szCs w:val="21"/>
        </w:rPr>
      </w:pPr>
      <w:r>
        <w:rPr>
          <w:rFonts w:hint="eastAsia" w:hAnsi="宋体"/>
          <w:sz w:val="21"/>
          <w:szCs w:val="21"/>
        </w:rPr>
        <w:t>1.12.5 投标人应根据招标文件的要求提供相关内容以对招标文件作出响应。</w:t>
      </w:r>
    </w:p>
    <w:p w14:paraId="712B76B0">
      <w:pPr>
        <w:pStyle w:val="2"/>
        <w:spacing w:before="0" w:after="0" w:line="360" w:lineRule="auto"/>
        <w:ind w:firstLine="420" w:firstLineChars="200"/>
        <w:rPr>
          <w:rFonts w:ascii="宋体" w:hAnsi="宋体" w:cs="宋体"/>
          <w:b w:val="0"/>
          <w:sz w:val="21"/>
          <w:szCs w:val="21"/>
        </w:rPr>
      </w:pPr>
      <w:bookmarkStart w:id="106" w:name="_Toc517787517"/>
      <w:bookmarkStart w:id="107" w:name="_Toc234832884"/>
      <w:r>
        <w:rPr>
          <w:rFonts w:hint="eastAsia" w:ascii="宋体" w:hAnsi="宋体" w:cs="宋体"/>
          <w:b w:val="0"/>
          <w:sz w:val="21"/>
          <w:szCs w:val="21"/>
        </w:rPr>
        <w:t>2. 招标文件</w:t>
      </w:r>
      <w:bookmarkEnd w:id="106"/>
      <w:bookmarkEnd w:id="107"/>
    </w:p>
    <w:p w14:paraId="09B50AD4">
      <w:pPr>
        <w:pStyle w:val="2"/>
        <w:spacing w:before="0" w:after="0" w:line="360" w:lineRule="auto"/>
        <w:ind w:firstLine="420" w:firstLineChars="200"/>
        <w:rPr>
          <w:rFonts w:ascii="宋体" w:hAnsi="宋体" w:cs="宋体"/>
          <w:b w:val="0"/>
          <w:sz w:val="21"/>
          <w:szCs w:val="21"/>
        </w:rPr>
      </w:pPr>
      <w:bookmarkStart w:id="108" w:name="_Toc234832885"/>
      <w:bookmarkStart w:id="109" w:name="_Toc517787518"/>
      <w:r>
        <w:rPr>
          <w:rFonts w:hint="eastAsia" w:ascii="宋体" w:hAnsi="宋体" w:cs="宋体"/>
          <w:b w:val="0"/>
          <w:sz w:val="21"/>
          <w:szCs w:val="21"/>
        </w:rPr>
        <w:t>2.1 招标文件的组成</w:t>
      </w:r>
      <w:bookmarkEnd w:id="108"/>
      <w:bookmarkEnd w:id="109"/>
    </w:p>
    <w:p w14:paraId="0496A4AF">
      <w:pPr>
        <w:spacing w:line="360" w:lineRule="auto"/>
        <w:ind w:firstLine="420" w:firstLineChars="200"/>
        <w:rPr>
          <w:rFonts w:ascii="宋体" w:hAnsi="宋体" w:cs="宋体"/>
        </w:rPr>
      </w:pPr>
      <w:r>
        <w:rPr>
          <w:rFonts w:hint="eastAsia" w:ascii="宋体" w:hAnsi="宋体" w:cs="宋体"/>
        </w:rPr>
        <w:t>本招标文件包括：</w:t>
      </w:r>
    </w:p>
    <w:p w14:paraId="5EB970C1">
      <w:pPr>
        <w:spacing w:line="360" w:lineRule="auto"/>
        <w:ind w:firstLine="420" w:firstLineChars="200"/>
        <w:rPr>
          <w:rFonts w:ascii="宋体" w:hAnsi="宋体" w:cs="宋体"/>
        </w:rPr>
      </w:pPr>
      <w:r>
        <w:rPr>
          <w:rFonts w:hint="eastAsia" w:ascii="宋体" w:hAnsi="宋体" w:cs="宋体"/>
        </w:rPr>
        <w:t>（1）招标公告（或投标邀请书）；</w:t>
      </w:r>
    </w:p>
    <w:p w14:paraId="5F284F1F">
      <w:pPr>
        <w:spacing w:line="360" w:lineRule="auto"/>
        <w:ind w:firstLine="420" w:firstLineChars="200"/>
        <w:rPr>
          <w:rFonts w:ascii="宋体" w:hAnsi="宋体" w:cs="宋体"/>
        </w:rPr>
      </w:pPr>
      <w:r>
        <w:rPr>
          <w:rFonts w:hint="eastAsia" w:ascii="宋体" w:hAnsi="宋体" w:cs="宋体"/>
        </w:rPr>
        <w:t>（2）投标人须知；</w:t>
      </w:r>
    </w:p>
    <w:p w14:paraId="05AB3672">
      <w:pPr>
        <w:spacing w:line="360" w:lineRule="auto"/>
        <w:ind w:firstLine="420" w:firstLineChars="200"/>
        <w:rPr>
          <w:rFonts w:ascii="宋体" w:hAnsi="宋体" w:cs="宋体"/>
        </w:rPr>
      </w:pPr>
      <w:r>
        <w:rPr>
          <w:rFonts w:hint="eastAsia" w:ascii="宋体" w:hAnsi="宋体" w:cs="宋体"/>
        </w:rPr>
        <w:t>（3）评标办法；</w:t>
      </w:r>
    </w:p>
    <w:p w14:paraId="326366F9">
      <w:pPr>
        <w:spacing w:line="360" w:lineRule="auto"/>
        <w:ind w:firstLine="420" w:firstLineChars="200"/>
        <w:rPr>
          <w:rFonts w:ascii="宋体" w:hAnsi="宋体" w:cs="宋体"/>
        </w:rPr>
      </w:pPr>
      <w:r>
        <w:rPr>
          <w:rFonts w:hint="eastAsia" w:ascii="宋体" w:hAnsi="宋体" w:cs="宋体"/>
        </w:rPr>
        <w:t>（4）合同条款及格式；</w:t>
      </w:r>
    </w:p>
    <w:p w14:paraId="5CD16024">
      <w:pPr>
        <w:spacing w:line="360" w:lineRule="auto"/>
        <w:ind w:firstLine="420" w:firstLineChars="200"/>
        <w:rPr>
          <w:rFonts w:ascii="宋体" w:hAnsi="宋体" w:cs="宋体"/>
        </w:rPr>
      </w:pPr>
      <w:r>
        <w:rPr>
          <w:rFonts w:hint="eastAsia" w:ascii="宋体" w:hAnsi="宋体" w:cs="宋体"/>
        </w:rPr>
        <w:t>（5）工程量清单；</w:t>
      </w:r>
    </w:p>
    <w:p w14:paraId="0255B098">
      <w:pPr>
        <w:spacing w:line="360" w:lineRule="auto"/>
        <w:ind w:firstLine="420" w:firstLineChars="200"/>
        <w:rPr>
          <w:rFonts w:ascii="宋体" w:hAnsi="宋体" w:cs="宋体"/>
        </w:rPr>
      </w:pPr>
      <w:r>
        <w:rPr>
          <w:rFonts w:hint="eastAsia" w:ascii="宋体" w:hAnsi="宋体" w:cs="宋体"/>
        </w:rPr>
        <w:t>（6）图纸；</w:t>
      </w:r>
    </w:p>
    <w:p w14:paraId="7C130FB0">
      <w:pPr>
        <w:spacing w:line="360" w:lineRule="auto"/>
        <w:ind w:firstLine="420" w:firstLineChars="200"/>
        <w:rPr>
          <w:rFonts w:ascii="宋体" w:hAnsi="宋体" w:cs="宋体"/>
        </w:rPr>
      </w:pPr>
      <w:r>
        <w:rPr>
          <w:rFonts w:hint="eastAsia" w:ascii="宋体" w:hAnsi="宋体" w:cs="宋体"/>
        </w:rPr>
        <w:t>（7）技术规范；</w:t>
      </w:r>
    </w:p>
    <w:p w14:paraId="1177C7FC">
      <w:pPr>
        <w:tabs>
          <w:tab w:val="center" w:pos="4634"/>
        </w:tabs>
        <w:spacing w:line="360" w:lineRule="auto"/>
        <w:ind w:firstLine="420" w:firstLineChars="200"/>
        <w:rPr>
          <w:rFonts w:ascii="宋体" w:hAnsi="宋体" w:cs="宋体"/>
        </w:rPr>
      </w:pPr>
      <w:r>
        <w:rPr>
          <w:rFonts w:hint="eastAsia" w:ascii="宋体" w:hAnsi="宋体" w:cs="宋体"/>
        </w:rPr>
        <w:t>（8）工程量清单计量规则；</w:t>
      </w:r>
    </w:p>
    <w:p w14:paraId="5D9F8060">
      <w:pPr>
        <w:spacing w:line="360" w:lineRule="auto"/>
        <w:ind w:firstLine="420" w:firstLineChars="200"/>
        <w:rPr>
          <w:rFonts w:ascii="宋体" w:hAnsi="宋体" w:cs="宋体"/>
        </w:rPr>
      </w:pPr>
      <w:r>
        <w:rPr>
          <w:rFonts w:hint="eastAsia" w:ascii="宋体" w:hAnsi="宋体" w:cs="宋体"/>
        </w:rPr>
        <w:t>（9）投标文件格式；</w:t>
      </w:r>
    </w:p>
    <w:p w14:paraId="644372A2">
      <w:pPr>
        <w:spacing w:line="360" w:lineRule="auto"/>
        <w:ind w:firstLine="420" w:firstLineChars="200"/>
        <w:rPr>
          <w:rFonts w:ascii="宋体" w:hAnsi="宋体" w:cs="宋体"/>
        </w:rPr>
      </w:pPr>
      <w:r>
        <w:rPr>
          <w:rFonts w:hint="eastAsia" w:ascii="宋体" w:hAnsi="宋体" w:cs="宋体"/>
        </w:rPr>
        <w:t>（10）投标人须知前附表规定的其他资料。</w:t>
      </w:r>
    </w:p>
    <w:p w14:paraId="2E036E95">
      <w:pPr>
        <w:spacing w:line="360" w:lineRule="auto"/>
        <w:ind w:firstLine="420" w:firstLineChars="200"/>
        <w:rPr>
          <w:rFonts w:ascii="宋体" w:hAnsi="宋体" w:cs="宋体"/>
        </w:rPr>
      </w:pPr>
      <w:r>
        <w:rPr>
          <w:rFonts w:hint="eastAsia" w:ascii="宋体" w:hAnsi="宋体" w:cs="宋体"/>
        </w:rPr>
        <w:t>根据本章第1.10款、第2.2款和第2.3款对招标文件所作的澄清、修改，构成招标文件的组成部分。</w:t>
      </w:r>
    </w:p>
    <w:p w14:paraId="4E525E8E">
      <w:pPr>
        <w:pStyle w:val="18"/>
        <w:topLinePunct/>
        <w:spacing w:line="360" w:lineRule="auto"/>
        <w:ind w:firstLine="420" w:firstLineChars="200"/>
        <w:rPr>
          <w:rFonts w:hAnsi="宋体"/>
          <w:sz w:val="21"/>
          <w:szCs w:val="21"/>
        </w:rPr>
      </w:pPr>
      <w:r>
        <w:rPr>
          <w:rFonts w:hint="eastAsia" w:hAnsi="宋体"/>
          <w:sz w:val="21"/>
          <w:szCs w:val="21"/>
        </w:rPr>
        <w:t>当招标文件、招标文件的澄清或修改等在同一内容的表述上不一致时，以最后发出的文件为准。</w:t>
      </w:r>
    </w:p>
    <w:p w14:paraId="68217CD1">
      <w:pPr>
        <w:pStyle w:val="2"/>
        <w:spacing w:before="0" w:after="0" w:line="360" w:lineRule="auto"/>
        <w:ind w:firstLine="420" w:firstLineChars="200"/>
        <w:rPr>
          <w:rFonts w:ascii="宋体" w:hAnsi="宋体" w:cs="宋体"/>
          <w:b w:val="0"/>
          <w:sz w:val="21"/>
          <w:szCs w:val="21"/>
        </w:rPr>
      </w:pPr>
      <w:bookmarkStart w:id="110" w:name="_Toc234832886"/>
      <w:bookmarkStart w:id="111" w:name="_Toc517787519"/>
      <w:r>
        <w:rPr>
          <w:rFonts w:hint="eastAsia" w:ascii="宋体" w:hAnsi="宋体" w:cs="宋体"/>
          <w:b w:val="0"/>
          <w:sz w:val="21"/>
          <w:szCs w:val="21"/>
        </w:rPr>
        <w:t>2.2 招标文件的澄清</w:t>
      </w:r>
      <w:bookmarkEnd w:id="110"/>
      <w:bookmarkEnd w:id="111"/>
    </w:p>
    <w:p w14:paraId="021236D4">
      <w:pPr>
        <w:spacing w:line="360" w:lineRule="auto"/>
        <w:ind w:firstLine="420" w:firstLineChars="200"/>
        <w:rPr>
          <w:rFonts w:ascii="宋体" w:hAnsi="宋体" w:cs="宋体"/>
        </w:rPr>
      </w:pPr>
      <w:r>
        <w:rPr>
          <w:rFonts w:hint="eastAsia" w:ascii="宋体" w:hAnsi="宋体" w:cs="宋体"/>
        </w:rPr>
        <w:t>2.2.1 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4A969838">
      <w:pPr>
        <w:spacing w:line="360" w:lineRule="auto"/>
        <w:ind w:firstLine="420" w:firstLineChars="200"/>
        <w:rPr>
          <w:rFonts w:ascii="宋体" w:hAnsi="宋体" w:cs="宋体"/>
        </w:rPr>
      </w:pPr>
      <w:r>
        <w:rPr>
          <w:rFonts w:hint="eastAsia" w:ascii="宋体" w:hAnsi="宋体" w:cs="宋体"/>
        </w:rPr>
        <w:t>2.2.2 招标文件的澄清以投标人须知前附表规定的形式发给所有购买招标文件的投标人，但不指明澄清问题的来源。澄清发出的时间距本章第4.2.1项规定的投标截止时间不足15日（或3日），且澄清内容可能影响投标文件编制的，将相应延长投标截止时间。</w:t>
      </w:r>
    </w:p>
    <w:p w14:paraId="5DFE425B">
      <w:pPr>
        <w:spacing w:line="360" w:lineRule="auto"/>
        <w:ind w:firstLine="420" w:firstLineChars="200"/>
        <w:rPr>
          <w:rFonts w:ascii="宋体" w:hAnsi="宋体" w:cs="宋体"/>
        </w:rPr>
      </w:pPr>
      <w:r>
        <w:rPr>
          <w:rFonts w:hint="eastAsia" w:ascii="宋体" w:hAnsi="宋体" w:cs="宋体"/>
        </w:rPr>
        <w:t>2.2.3 投标人在收到澄清后，应按投标人须知前附表规定的时间和形式通知招标人，确认已收到该澄清。</w:t>
      </w:r>
    </w:p>
    <w:p w14:paraId="41F91F18">
      <w:pPr>
        <w:spacing w:line="360" w:lineRule="auto"/>
        <w:ind w:firstLine="420" w:firstLineChars="200"/>
        <w:rPr>
          <w:rFonts w:ascii="宋体" w:hAnsi="宋体" w:cs="宋体"/>
        </w:rPr>
      </w:pPr>
      <w:r>
        <w:rPr>
          <w:rFonts w:hint="eastAsia" w:ascii="宋体" w:hAnsi="宋体" w:cs="宋体"/>
        </w:rPr>
        <w:t>2.2.4 除非招标人认为确有必要答复，否则，招标人有权拒绝回复投标人在本章第2.2.1项规定的时间后提出的任何澄清要求。</w:t>
      </w:r>
    </w:p>
    <w:p w14:paraId="255E66AE">
      <w:pPr>
        <w:pStyle w:val="2"/>
        <w:spacing w:before="0" w:after="0" w:line="360" w:lineRule="auto"/>
        <w:ind w:firstLine="420" w:firstLineChars="200"/>
        <w:rPr>
          <w:rFonts w:ascii="宋体" w:hAnsi="宋体" w:cs="宋体"/>
          <w:b w:val="0"/>
          <w:sz w:val="21"/>
          <w:szCs w:val="21"/>
        </w:rPr>
      </w:pPr>
      <w:bookmarkStart w:id="112" w:name="_Toc517787520"/>
      <w:bookmarkStart w:id="113" w:name="_Toc234832887"/>
      <w:r>
        <w:rPr>
          <w:rFonts w:hint="eastAsia" w:ascii="宋体" w:hAnsi="宋体" w:cs="宋体"/>
          <w:b w:val="0"/>
          <w:sz w:val="21"/>
          <w:szCs w:val="21"/>
        </w:rPr>
        <w:t>2.3 招标文件的修改</w:t>
      </w:r>
      <w:bookmarkEnd w:id="112"/>
      <w:bookmarkEnd w:id="113"/>
    </w:p>
    <w:p w14:paraId="3929140A">
      <w:pPr>
        <w:spacing w:line="360" w:lineRule="auto"/>
        <w:ind w:firstLine="420" w:firstLineChars="200"/>
        <w:rPr>
          <w:rFonts w:ascii="宋体" w:hAnsi="宋体" w:cs="宋体"/>
        </w:rPr>
      </w:pPr>
      <w:r>
        <w:rPr>
          <w:rFonts w:hint="eastAsia" w:ascii="宋体" w:hAnsi="宋体" w:cs="宋体"/>
        </w:rPr>
        <w:t>2.3.1 招标人以投标人须知前附表规定的形式修改招标文件，并通知所有已购买招标文件的投标人。修改招标文件的时间距本章第4.2.1项规定的投标截止时间不足15日（或3日），且修改内容可能影响投标文件编制的，将相应延长投标截止时间。</w:t>
      </w:r>
    </w:p>
    <w:p w14:paraId="509CF764">
      <w:pPr>
        <w:spacing w:line="360" w:lineRule="auto"/>
        <w:ind w:firstLine="420" w:firstLineChars="200"/>
        <w:rPr>
          <w:rFonts w:ascii="宋体" w:hAnsi="宋体" w:cs="宋体"/>
        </w:rPr>
      </w:pPr>
      <w:r>
        <w:rPr>
          <w:rFonts w:hint="eastAsia" w:ascii="宋体" w:hAnsi="宋体" w:cs="宋体"/>
        </w:rPr>
        <w:t>2.3.2 投标人收到修改内容后，应按投标人须知前附表规定的时间和形式通知招标人，确认已收到该修改。</w:t>
      </w:r>
    </w:p>
    <w:p w14:paraId="3AF932BA">
      <w:pPr>
        <w:pStyle w:val="2"/>
        <w:spacing w:before="0" w:after="0" w:line="360" w:lineRule="auto"/>
        <w:ind w:firstLine="420" w:firstLineChars="200"/>
        <w:rPr>
          <w:rFonts w:ascii="宋体" w:hAnsi="宋体" w:cs="宋体"/>
          <w:b w:val="0"/>
          <w:sz w:val="21"/>
          <w:szCs w:val="21"/>
        </w:rPr>
      </w:pPr>
      <w:bookmarkStart w:id="114" w:name="_Toc517787521"/>
      <w:r>
        <w:rPr>
          <w:rFonts w:hint="eastAsia" w:ascii="宋体" w:hAnsi="宋体" w:cs="宋体"/>
          <w:b w:val="0"/>
          <w:sz w:val="21"/>
          <w:szCs w:val="21"/>
        </w:rPr>
        <w:t>2.4 招标文件的异议</w:t>
      </w:r>
      <w:bookmarkEnd w:id="114"/>
    </w:p>
    <w:p w14:paraId="707BE1F6">
      <w:pPr>
        <w:spacing w:line="360" w:lineRule="auto"/>
        <w:ind w:firstLine="420" w:firstLineChars="200"/>
        <w:rPr>
          <w:rFonts w:ascii="宋体" w:hAnsi="宋体" w:cs="宋体"/>
        </w:rPr>
      </w:pPr>
      <w:r>
        <w:rPr>
          <w:rFonts w:hint="eastAsia" w:ascii="宋体" w:hAnsi="宋体" w:cs="宋体"/>
        </w:rPr>
        <w:t>投标人或其他利害关系人对招标文件有异议的，应在投标截止时间10日前以书面形式提出。招标人将在收到异议之日起3日内作出答复；作出答复前，将暂停招标投标活动。</w:t>
      </w:r>
    </w:p>
    <w:p w14:paraId="71485250">
      <w:pPr>
        <w:pStyle w:val="2"/>
        <w:spacing w:before="0" w:after="0" w:line="360" w:lineRule="auto"/>
        <w:ind w:firstLine="420" w:firstLineChars="200"/>
        <w:rPr>
          <w:rFonts w:ascii="宋体" w:hAnsi="宋体" w:cs="宋体"/>
          <w:b w:val="0"/>
          <w:sz w:val="21"/>
          <w:szCs w:val="21"/>
        </w:rPr>
      </w:pPr>
      <w:bookmarkStart w:id="115" w:name="_Toc517787522"/>
      <w:bookmarkStart w:id="116" w:name="_Toc234832888"/>
      <w:r>
        <w:rPr>
          <w:rFonts w:hint="eastAsia" w:ascii="宋体" w:hAnsi="宋体" w:cs="宋体"/>
          <w:b w:val="0"/>
          <w:sz w:val="21"/>
          <w:szCs w:val="21"/>
        </w:rPr>
        <w:t>3. 投标文件</w:t>
      </w:r>
      <w:bookmarkEnd w:id="115"/>
      <w:bookmarkEnd w:id="116"/>
    </w:p>
    <w:p w14:paraId="0832FFB7">
      <w:pPr>
        <w:pStyle w:val="2"/>
        <w:spacing w:before="0" w:after="0" w:line="360" w:lineRule="auto"/>
        <w:ind w:firstLine="420" w:firstLineChars="200"/>
        <w:rPr>
          <w:rFonts w:ascii="宋体" w:hAnsi="宋体" w:cs="宋体"/>
          <w:b w:val="0"/>
          <w:sz w:val="21"/>
          <w:szCs w:val="21"/>
        </w:rPr>
      </w:pPr>
      <w:bookmarkStart w:id="117" w:name="_Toc517787523"/>
      <w:bookmarkStart w:id="118" w:name="_Toc234832889"/>
      <w:r>
        <w:rPr>
          <w:rFonts w:hint="eastAsia" w:ascii="宋体" w:hAnsi="宋体" w:cs="宋体"/>
          <w:b w:val="0"/>
          <w:sz w:val="21"/>
          <w:szCs w:val="21"/>
        </w:rPr>
        <w:t>3.1</w:t>
      </w:r>
      <w:r>
        <w:rPr>
          <w:rFonts w:hint="eastAsia" w:ascii="宋体" w:hAnsi="宋体" w:cs="宋体"/>
          <w:b w:val="0"/>
          <w:sz w:val="21"/>
          <w:szCs w:val="21"/>
        </w:rPr>
        <w:tab/>
      </w:r>
      <w:r>
        <w:rPr>
          <w:rFonts w:hint="eastAsia" w:ascii="宋体" w:hAnsi="宋体" w:cs="宋体"/>
          <w:b w:val="0"/>
          <w:sz w:val="21"/>
          <w:szCs w:val="21"/>
        </w:rPr>
        <w:t>投标文件的组成</w:t>
      </w:r>
      <w:bookmarkEnd w:id="117"/>
      <w:bookmarkEnd w:id="118"/>
    </w:p>
    <w:p w14:paraId="4EC9547E">
      <w:pPr>
        <w:spacing w:line="360" w:lineRule="auto"/>
        <w:ind w:firstLine="420" w:firstLineChars="200"/>
        <w:rPr>
          <w:rFonts w:ascii="宋体" w:hAnsi="宋体" w:cs="宋体"/>
        </w:rPr>
      </w:pPr>
      <w:r>
        <w:rPr>
          <w:rFonts w:hint="eastAsia" w:ascii="宋体" w:hAnsi="宋体" w:cs="宋体"/>
        </w:rPr>
        <w:t>投标文件采用双信封形式，投标文件的组成应满足相应条款要求。</w:t>
      </w:r>
    </w:p>
    <w:p w14:paraId="2682A9D1">
      <w:pPr>
        <w:spacing w:line="360" w:lineRule="auto"/>
        <w:ind w:firstLine="420" w:firstLineChars="200"/>
        <w:rPr>
          <w:rFonts w:ascii="宋体" w:hAnsi="宋体" w:cs="宋体"/>
        </w:rPr>
      </w:pPr>
      <w:r>
        <w:rPr>
          <w:rFonts w:hint="eastAsia" w:ascii="宋体" w:hAnsi="宋体" w:cs="宋体"/>
        </w:rPr>
        <w:t>3.1.1 投标文件应包括下列内容：</w:t>
      </w:r>
    </w:p>
    <w:p w14:paraId="07B46829">
      <w:pPr>
        <w:spacing w:line="360" w:lineRule="auto"/>
        <w:ind w:firstLine="420" w:firstLineChars="200"/>
        <w:rPr>
          <w:rFonts w:ascii="宋体" w:hAnsi="宋体" w:cs="宋体"/>
        </w:rPr>
      </w:pPr>
      <w:r>
        <w:rPr>
          <w:rFonts w:hint="eastAsia" w:ascii="宋体" w:hAnsi="宋体" w:cs="宋体"/>
        </w:rPr>
        <w:t>第一个信封（商务文件）：</w:t>
      </w:r>
    </w:p>
    <w:p w14:paraId="34BE8AB1">
      <w:pPr>
        <w:spacing w:line="360" w:lineRule="auto"/>
        <w:ind w:firstLine="420" w:firstLineChars="200"/>
        <w:rPr>
          <w:rFonts w:ascii="宋体" w:hAnsi="宋体" w:cs="宋体"/>
        </w:rPr>
      </w:pPr>
      <w:r>
        <w:rPr>
          <w:rFonts w:hint="eastAsia" w:ascii="宋体" w:hAnsi="宋体" w:cs="宋体"/>
        </w:rPr>
        <w:t>（1）投标函及投标函附录；</w:t>
      </w:r>
    </w:p>
    <w:p w14:paraId="6FE34782">
      <w:pPr>
        <w:spacing w:line="360" w:lineRule="auto"/>
        <w:ind w:firstLine="420" w:firstLineChars="200"/>
        <w:rPr>
          <w:rFonts w:ascii="宋体" w:hAnsi="宋体" w:cs="宋体"/>
        </w:rPr>
      </w:pPr>
      <w:r>
        <w:rPr>
          <w:rFonts w:hint="eastAsia" w:ascii="宋体" w:hAnsi="宋体" w:cs="宋体"/>
        </w:rPr>
        <w:t>（2）授权委托书或法定代表人身份证明；</w:t>
      </w:r>
    </w:p>
    <w:p w14:paraId="074755F6">
      <w:pPr>
        <w:spacing w:line="360" w:lineRule="auto"/>
        <w:ind w:firstLine="420" w:firstLineChars="200"/>
        <w:rPr>
          <w:rFonts w:ascii="宋体" w:hAnsi="宋体" w:cs="宋体"/>
        </w:rPr>
      </w:pPr>
      <w:r>
        <w:rPr>
          <w:rFonts w:hint="eastAsia" w:ascii="宋体" w:hAnsi="宋体" w:cs="宋体"/>
        </w:rPr>
        <w:t>（3）投标保证金；</w:t>
      </w:r>
    </w:p>
    <w:p w14:paraId="70ED31BB">
      <w:pPr>
        <w:spacing w:line="360" w:lineRule="auto"/>
        <w:ind w:firstLine="420" w:firstLineChars="200"/>
        <w:rPr>
          <w:rFonts w:ascii="宋体" w:hAnsi="宋体" w:cs="宋体"/>
        </w:rPr>
      </w:pPr>
      <w:r>
        <w:rPr>
          <w:rFonts w:hint="eastAsia" w:ascii="宋体" w:hAnsi="宋体" w:cs="宋体"/>
        </w:rPr>
        <w:t>（4）拟用于工程的主要材料与设备情况表；</w:t>
      </w:r>
    </w:p>
    <w:p w14:paraId="598D0E0D">
      <w:pPr>
        <w:spacing w:line="360" w:lineRule="auto"/>
        <w:ind w:firstLine="420" w:firstLineChars="200"/>
        <w:rPr>
          <w:rFonts w:ascii="宋体" w:hAnsi="宋体" w:cs="宋体"/>
        </w:rPr>
      </w:pPr>
      <w:r>
        <w:rPr>
          <w:rFonts w:hint="eastAsia" w:ascii="宋体" w:hAnsi="宋体" w:cs="宋体"/>
        </w:rPr>
        <w:t>（5）项目管理机构；</w:t>
      </w:r>
    </w:p>
    <w:p w14:paraId="1851F3E1">
      <w:pPr>
        <w:spacing w:line="360" w:lineRule="auto"/>
        <w:ind w:firstLine="420" w:firstLineChars="200"/>
        <w:rPr>
          <w:rFonts w:ascii="宋体" w:hAnsi="宋体" w:cs="宋体"/>
        </w:rPr>
      </w:pPr>
      <w:r>
        <w:rPr>
          <w:rFonts w:hint="eastAsia" w:ascii="宋体" w:hAnsi="宋体" w:cs="宋体"/>
        </w:rPr>
        <w:t>（6）拟分包项目情况表；</w:t>
      </w:r>
    </w:p>
    <w:p w14:paraId="68ADC41C">
      <w:pPr>
        <w:spacing w:line="360" w:lineRule="auto"/>
        <w:ind w:firstLine="420" w:firstLineChars="200"/>
        <w:rPr>
          <w:rFonts w:ascii="宋体" w:hAnsi="宋体" w:cs="宋体"/>
        </w:rPr>
      </w:pPr>
      <w:r>
        <w:rPr>
          <w:rFonts w:hint="eastAsia" w:ascii="宋体" w:hAnsi="宋体" w:cs="宋体"/>
        </w:rPr>
        <w:t xml:space="preserve">（7）资格审查资料； </w:t>
      </w:r>
    </w:p>
    <w:p w14:paraId="6E16D5DB">
      <w:pPr>
        <w:spacing w:line="360" w:lineRule="auto"/>
        <w:ind w:firstLine="420" w:firstLineChars="200"/>
        <w:rPr>
          <w:rFonts w:ascii="宋体" w:hAnsi="宋体" w:cs="宋体"/>
        </w:rPr>
      </w:pPr>
      <w:r>
        <w:rPr>
          <w:rFonts w:hint="eastAsia" w:ascii="宋体" w:hAnsi="宋体" w:cs="宋体"/>
        </w:rPr>
        <w:t>（8）投标人须知前附表规定的其他资料。</w:t>
      </w:r>
    </w:p>
    <w:p w14:paraId="19F0B236">
      <w:pPr>
        <w:spacing w:line="360" w:lineRule="auto"/>
        <w:ind w:firstLine="420" w:firstLineChars="200"/>
        <w:rPr>
          <w:rFonts w:ascii="宋体" w:hAnsi="宋体" w:cs="宋体"/>
        </w:rPr>
      </w:pPr>
      <w:r>
        <w:rPr>
          <w:rFonts w:hint="eastAsia" w:ascii="宋体" w:hAnsi="宋体" w:cs="宋体"/>
        </w:rPr>
        <w:t>第二个信封（报价文件）：</w:t>
      </w:r>
    </w:p>
    <w:p w14:paraId="4DA5FB28">
      <w:pPr>
        <w:spacing w:line="360" w:lineRule="auto"/>
        <w:ind w:firstLine="420" w:firstLineChars="200"/>
        <w:rPr>
          <w:rFonts w:ascii="宋体" w:hAnsi="宋体" w:cs="宋体"/>
        </w:rPr>
      </w:pPr>
      <w:r>
        <w:rPr>
          <w:rFonts w:hint="eastAsia" w:ascii="宋体" w:hAnsi="宋体" w:cs="宋体"/>
        </w:rPr>
        <w:t>（1）投标函；</w:t>
      </w:r>
    </w:p>
    <w:p w14:paraId="548E3580">
      <w:pPr>
        <w:spacing w:line="360" w:lineRule="auto"/>
        <w:ind w:firstLine="420" w:firstLineChars="200"/>
        <w:rPr>
          <w:rFonts w:ascii="宋体" w:hAnsi="宋体" w:cs="宋体"/>
        </w:rPr>
      </w:pPr>
      <w:r>
        <w:rPr>
          <w:rFonts w:hint="eastAsia" w:ascii="宋体" w:hAnsi="宋体" w:cs="宋体"/>
        </w:rPr>
        <w:t>（2）已标价工程量清单；</w:t>
      </w:r>
    </w:p>
    <w:p w14:paraId="03891C3F">
      <w:pPr>
        <w:spacing w:line="360" w:lineRule="auto"/>
        <w:ind w:firstLine="420" w:firstLineChars="200"/>
        <w:rPr>
          <w:rFonts w:ascii="宋体" w:hAnsi="宋体" w:cs="宋体"/>
        </w:rPr>
      </w:pPr>
      <w:r>
        <w:rPr>
          <w:rFonts w:hint="eastAsia" w:ascii="宋体" w:hAnsi="宋体" w:cs="宋体"/>
        </w:rPr>
        <w:t>投标人在评标过程中作出的符合法律法规和招标文件规定的澄清确认，构成投标文件的组成部分。</w:t>
      </w:r>
    </w:p>
    <w:p w14:paraId="7437BAA0">
      <w:pPr>
        <w:spacing w:line="360" w:lineRule="auto"/>
        <w:ind w:firstLine="420" w:firstLineChars="200"/>
        <w:rPr>
          <w:rFonts w:ascii="宋体" w:hAnsi="宋体" w:cs="宋体"/>
        </w:rPr>
      </w:pPr>
      <w:r>
        <w:rPr>
          <w:rFonts w:hint="eastAsia" w:ascii="宋体" w:hAnsi="宋体" w:cs="宋体"/>
        </w:rPr>
        <w:t>3.1.2 投标人须知前附表规定不接受联合体投标的，或投标人没有组成联合体的，投标文件不包括本章第3.1.1（3）目所指的联合体协议书。</w:t>
      </w:r>
    </w:p>
    <w:p w14:paraId="68ED0F38">
      <w:pPr>
        <w:spacing w:line="360" w:lineRule="auto"/>
        <w:ind w:firstLine="420" w:firstLineChars="200"/>
        <w:rPr>
          <w:rFonts w:ascii="宋体" w:hAnsi="宋体" w:cs="宋体"/>
        </w:rPr>
      </w:pPr>
      <w:r>
        <w:rPr>
          <w:rFonts w:hint="eastAsia" w:ascii="宋体" w:hAnsi="宋体" w:cs="宋体"/>
        </w:rPr>
        <w:t>3.1.3 投标人须知前附表未要求提交投标保证金的，投标文件不包括本章第3.1.1（4）目所指的投标保证金。</w:t>
      </w:r>
    </w:p>
    <w:p w14:paraId="7CA10BD3">
      <w:pPr>
        <w:spacing w:line="360" w:lineRule="auto"/>
        <w:ind w:firstLine="420" w:firstLineChars="200"/>
        <w:rPr>
          <w:rFonts w:ascii="宋体" w:hAnsi="宋体" w:cs="宋体"/>
        </w:rPr>
      </w:pPr>
      <w:r>
        <w:rPr>
          <w:rFonts w:hint="eastAsia" w:ascii="宋体" w:hAnsi="宋体" w:cs="宋体"/>
        </w:rPr>
        <w:t>3.1.4 投标人须知前附表未要求编制施工组织设计的，投标文件不包括本章第3.1.1（6）目所指的施工组织设计。</w:t>
      </w:r>
    </w:p>
    <w:p w14:paraId="38CCA7BA">
      <w:pPr>
        <w:pStyle w:val="2"/>
        <w:spacing w:before="0" w:after="0" w:line="360" w:lineRule="auto"/>
        <w:ind w:firstLine="420" w:firstLineChars="200"/>
        <w:rPr>
          <w:rFonts w:ascii="宋体" w:hAnsi="宋体" w:cs="宋体"/>
          <w:b w:val="0"/>
          <w:sz w:val="21"/>
          <w:szCs w:val="21"/>
        </w:rPr>
      </w:pPr>
      <w:bookmarkStart w:id="119" w:name="_Toc234832890"/>
      <w:bookmarkStart w:id="120" w:name="_Toc517787524"/>
      <w:r>
        <w:rPr>
          <w:rFonts w:hint="eastAsia" w:ascii="宋体" w:hAnsi="宋体" w:cs="宋体"/>
          <w:b w:val="0"/>
          <w:sz w:val="21"/>
          <w:szCs w:val="21"/>
        </w:rPr>
        <w:t>3.2 投标报价</w:t>
      </w:r>
      <w:bookmarkEnd w:id="119"/>
      <w:bookmarkEnd w:id="120"/>
    </w:p>
    <w:p w14:paraId="476F269F">
      <w:pPr>
        <w:spacing w:line="360" w:lineRule="auto"/>
        <w:ind w:firstLine="420" w:firstLineChars="200"/>
        <w:rPr>
          <w:rFonts w:ascii="宋体" w:hAnsi="宋体" w:cs="宋体"/>
        </w:rPr>
      </w:pPr>
      <w:r>
        <w:rPr>
          <w:rFonts w:hint="eastAsia" w:ascii="宋体" w:hAnsi="宋体" w:cs="宋体"/>
        </w:rPr>
        <w:t>3.2.1 投标报价应包括国家规定的增值税税金，除投标人须知前附表另有规定外，增值税税金按一般计税方法计算。投标人应按第九章“投标文件格式”的要求在投标函中进行报价并填写工程量清单相应表格。</w:t>
      </w:r>
    </w:p>
    <w:p w14:paraId="395E0311">
      <w:pPr>
        <w:spacing w:line="360" w:lineRule="auto"/>
        <w:ind w:firstLine="420" w:firstLineChars="200"/>
        <w:rPr>
          <w:rFonts w:ascii="宋体" w:hAnsi="宋体" w:cs="宋体"/>
        </w:rPr>
      </w:pPr>
      <w:r>
        <w:rPr>
          <w:rFonts w:hint="eastAsia" w:ascii="宋体" w:hAnsi="宋体" w:cs="宋体"/>
        </w:rPr>
        <w:t>本项目招标采用工程量固化清单，招标人在出售招标文件的同时向投标人提供工程量固化清单电子文件（光盘或U盘），或将工程量固化清单电子文件上传至投标人须知前附表载明的网站供投标人自行下载。投标人填写工程量清单中各子目的单价及总额价，即可完成投标工程量清单的编制，确定投标报价，并打印出投标工程量清单，编入投标文件。投标人未在工程量清单中填入单价或总额价的工程子目，将被认为其已包含在工程量清单其他子目的单价和总额价中，招标人将不予支付。</w:t>
      </w:r>
    </w:p>
    <w:p w14:paraId="34C3059C">
      <w:pPr>
        <w:spacing w:line="360" w:lineRule="auto"/>
        <w:ind w:firstLine="420" w:firstLineChars="200"/>
        <w:rPr>
          <w:rFonts w:ascii="宋体" w:hAnsi="宋体" w:cs="宋体"/>
        </w:rPr>
      </w:pPr>
      <w:r>
        <w:rPr>
          <w:rFonts w:hint="eastAsia" w:ascii="宋体" w:hAnsi="宋体" w:cs="宋体"/>
        </w:rPr>
        <w:t>投标人必须严格遵循工程量固化清单电子文件中的数据、格式及运算定义，并将已填写完毕的投标工程量清单电子文件单独拷入光盘（或U盘）中密封在投标文件内一并交回。严禁投标人修改工程量固化清单电子文件中的数据、格式及运算定义。</w:t>
      </w:r>
    </w:p>
    <w:p w14:paraId="4A559979">
      <w:pPr>
        <w:spacing w:line="360" w:lineRule="auto"/>
        <w:ind w:firstLine="420" w:firstLineChars="200"/>
        <w:rPr>
          <w:rFonts w:ascii="宋体" w:hAnsi="宋体" w:cs="宋体"/>
        </w:rPr>
      </w:pPr>
      <w:r>
        <w:rPr>
          <w:rFonts w:hint="eastAsia" w:ascii="宋体" w:hAnsi="宋体" w:cs="宋体"/>
        </w:rPr>
        <w:t>投标人根据招标人提供的工程量固化清单电子文件填报完成并打印的投标工程量清单中的投标报价和投标函大写金额报价应一致，如果报价金额出现差异，其投标将被否决。</w:t>
      </w:r>
    </w:p>
    <w:p w14:paraId="3B992A6F">
      <w:pPr>
        <w:spacing w:line="360" w:lineRule="auto"/>
        <w:ind w:firstLine="420" w:firstLineChars="200"/>
        <w:rPr>
          <w:rFonts w:ascii="宋体" w:hAnsi="宋体" w:cs="宋体"/>
        </w:rPr>
      </w:pPr>
      <w:r>
        <w:rPr>
          <w:rFonts w:hint="eastAsia" w:ascii="宋体" w:hAnsi="宋体" w:cs="宋体"/>
        </w:rPr>
        <w:t>3.2.2 投标人应充分了解本项目的总体情况以及影响投标报价的其他要素。</w:t>
      </w:r>
    </w:p>
    <w:p w14:paraId="1B577D1A">
      <w:pPr>
        <w:spacing w:line="360" w:lineRule="auto"/>
        <w:ind w:firstLine="420" w:firstLineChars="200"/>
        <w:rPr>
          <w:rFonts w:ascii="宋体" w:hAnsi="宋体" w:cs="宋体"/>
        </w:rPr>
      </w:pPr>
      <w:r>
        <w:rPr>
          <w:rFonts w:hint="eastAsia" w:ascii="宋体" w:hAnsi="宋体" w:cs="宋体"/>
        </w:rPr>
        <w:t>3.2.3 本项目的报价方式见投标人须知前附表。投标人在投标截止时间前修改投标函中的投标总报价，应同时修改投标文件“已标价工程量清单”中的相应报价。此修改须符合本章第4.3款的有关要求。</w:t>
      </w:r>
    </w:p>
    <w:p w14:paraId="5D10103D">
      <w:pPr>
        <w:spacing w:line="360" w:lineRule="auto"/>
        <w:ind w:firstLine="420" w:firstLineChars="200"/>
        <w:rPr>
          <w:rFonts w:ascii="宋体" w:hAnsi="宋体" w:cs="宋体"/>
        </w:rPr>
      </w:pPr>
      <w:r>
        <w:rPr>
          <w:rFonts w:hint="eastAsia" w:ascii="宋体" w:hAnsi="宋体" w:cs="宋体"/>
        </w:rPr>
        <w:t>3.2.4 投标人如果发现工程量清单中的数量与图纸中数量不一致时，应立即通知招标人核查，除非招标人以书面方式予以更正，否则，应以工程量清单中列出的数量为准。</w:t>
      </w:r>
    </w:p>
    <w:p w14:paraId="048C17E4">
      <w:pPr>
        <w:spacing w:line="360" w:lineRule="auto"/>
        <w:ind w:firstLine="420" w:firstLineChars="200"/>
        <w:rPr>
          <w:rFonts w:ascii="宋体" w:hAnsi="宋体" w:cs="宋体"/>
        </w:rPr>
      </w:pPr>
      <w:r>
        <w:rPr>
          <w:rFonts w:hint="eastAsia" w:ascii="宋体" w:hAnsi="宋体" w:cs="宋体"/>
        </w:rPr>
        <w:t>3.2.5 投标人应根据《公路水运工程安全生产监督管理办法》，在投标总价中计入安全生产费用，安全生产费用应符合合同条款第9.2.5项的规定。工程量清单中列有上述安全生产费的支付子目，由投标人按招标文件的规定填写总额价。</w:t>
      </w:r>
    </w:p>
    <w:p w14:paraId="7E42F938">
      <w:pPr>
        <w:spacing w:line="360" w:lineRule="auto"/>
        <w:ind w:firstLine="420" w:firstLineChars="200"/>
        <w:rPr>
          <w:rFonts w:ascii="宋体" w:hAnsi="宋体" w:cs="宋体"/>
        </w:rPr>
      </w:pPr>
      <w:r>
        <w:rPr>
          <w:rFonts w:hint="eastAsia" w:ascii="宋体" w:hAnsi="宋体" w:cs="宋体"/>
        </w:rPr>
        <w:t>3.2.6 除投标人须知前附表另有规定外，招标人不接受调价函。若招标人接受调价函，则应在招标文件中给出调价函的格式。投标人若有调价函则应遵循如下规定：</w:t>
      </w:r>
    </w:p>
    <w:p w14:paraId="418D09FD">
      <w:pPr>
        <w:spacing w:line="360" w:lineRule="auto"/>
        <w:ind w:firstLine="420" w:firstLineChars="200"/>
        <w:rPr>
          <w:rFonts w:ascii="宋体" w:hAnsi="宋体" w:cs="宋体"/>
        </w:rPr>
      </w:pPr>
      <w:r>
        <w:rPr>
          <w:rFonts w:hint="eastAsia" w:ascii="宋体" w:hAnsi="宋体" w:cs="宋体"/>
        </w:rPr>
        <w:t>（1）调价函必须采用招标文件规定的格式；调价函应说明调价后的最终报价，并以最终报价为准，而且投标人只能有一次调价的机会；</w:t>
      </w:r>
    </w:p>
    <w:p w14:paraId="5094B744">
      <w:pPr>
        <w:spacing w:line="360" w:lineRule="auto"/>
        <w:ind w:firstLine="420" w:firstLineChars="200"/>
        <w:rPr>
          <w:rFonts w:ascii="宋体" w:hAnsi="宋体" w:cs="宋体"/>
        </w:rPr>
      </w:pPr>
      <w:r>
        <w:rPr>
          <w:rFonts w:hint="eastAsia" w:ascii="宋体" w:hAnsi="宋体" w:cs="宋体"/>
        </w:rPr>
        <w:t xml:space="preserve">（2）工程量清单中招标人指定的报价不允许调价； </w:t>
      </w:r>
    </w:p>
    <w:p w14:paraId="1CE75197">
      <w:pPr>
        <w:spacing w:line="360" w:lineRule="auto"/>
        <w:ind w:firstLine="420" w:firstLineChars="200"/>
        <w:rPr>
          <w:rFonts w:ascii="宋体" w:hAnsi="宋体" w:cs="宋体"/>
        </w:rPr>
      </w:pPr>
      <w:r>
        <w:rPr>
          <w:rFonts w:hint="eastAsia" w:ascii="宋体" w:hAnsi="宋体" w:cs="宋体"/>
        </w:rPr>
        <w:t>（3）调价函必须附有调价后的工程量清单；调价函必须与投标文件正本封面机械装订在一起，与投标文件一起密封提交。</w:t>
      </w:r>
    </w:p>
    <w:p w14:paraId="4E9EFAD2">
      <w:pPr>
        <w:spacing w:line="360" w:lineRule="auto"/>
        <w:ind w:firstLine="420" w:firstLineChars="200"/>
        <w:rPr>
          <w:rFonts w:ascii="宋体" w:hAnsi="宋体" w:cs="宋体"/>
        </w:rPr>
      </w:pPr>
      <w:r>
        <w:rPr>
          <w:rFonts w:hint="eastAsia" w:ascii="宋体" w:hAnsi="宋体" w:cs="宋体"/>
        </w:rPr>
        <w:t>若投标人未提交调价后的工程量清单，或调价函未与投标文件正本封面机械装订在一起，调价函均视为无效，仍以原报价作为最终报价。若投标人提交的调价函多于一个，或对不允许调价的内容进行了调价，或调价函有附加条件，其投标将被否决。</w:t>
      </w:r>
    </w:p>
    <w:p w14:paraId="5DD89DFD">
      <w:pPr>
        <w:spacing w:line="360" w:lineRule="auto"/>
        <w:ind w:firstLine="420" w:firstLineChars="200"/>
        <w:rPr>
          <w:rFonts w:ascii="宋体" w:hAnsi="宋体" w:cs="宋体"/>
        </w:rPr>
      </w:pPr>
      <w:r>
        <w:rPr>
          <w:rFonts w:hint="eastAsia" w:ascii="宋体" w:hAnsi="宋体" w:cs="宋体"/>
        </w:rPr>
        <w:t>（4）若招标人接受调价函，投标人调价后的工程量清单和有效调价函的大写金额报价应保持一致，如果报价金额出现差异，则以有效调价函的大写金额报价为准。</w:t>
      </w:r>
    </w:p>
    <w:p w14:paraId="1C312B82">
      <w:pPr>
        <w:spacing w:line="360" w:lineRule="auto"/>
        <w:ind w:firstLine="420" w:firstLineChars="200"/>
        <w:rPr>
          <w:rFonts w:ascii="宋体" w:hAnsi="宋体" w:cs="宋体"/>
        </w:rPr>
      </w:pPr>
      <w:r>
        <w:rPr>
          <w:rFonts w:hint="eastAsia" w:ascii="宋体" w:hAnsi="宋体" w:cs="宋体"/>
        </w:rPr>
        <w:t>3.2.7 在合同实施期间，投标人填写的单价、合价和总额价是否由于物价波动进行价格调整按照合同条款第16.1款的规定处理。</w:t>
      </w:r>
    </w:p>
    <w:p w14:paraId="389928D6">
      <w:pPr>
        <w:spacing w:line="360" w:lineRule="auto"/>
        <w:ind w:firstLine="420" w:firstLineChars="200"/>
        <w:rPr>
          <w:rFonts w:ascii="宋体" w:hAnsi="宋体" w:cs="宋体"/>
        </w:rPr>
      </w:pPr>
      <w:r>
        <w:rPr>
          <w:rFonts w:hint="eastAsia" w:ascii="宋体" w:hAnsi="宋体" w:cs="宋体"/>
        </w:rPr>
        <w:t>3.2.8 招标人设有最高投标限价的，投标人的投标报价不得超过最高投标限价，最高投标限价在投标</w:t>
      </w:r>
      <w:bookmarkStart w:id="121" w:name="_Toc361508600"/>
      <w:bookmarkStart w:id="122" w:name="_Toc352691488"/>
      <w:bookmarkStart w:id="123" w:name="_Toc152042320"/>
      <w:bookmarkStart w:id="124" w:name="_Toc384308225"/>
      <w:bookmarkStart w:id="125" w:name="_Toc247513968"/>
      <w:bookmarkStart w:id="126" w:name="_Toc10429"/>
      <w:bookmarkStart w:id="127" w:name="_Toc300834965"/>
      <w:bookmarkStart w:id="128" w:name="_Toc144974512"/>
      <w:bookmarkStart w:id="129" w:name="_Toc247527569"/>
      <w:bookmarkStart w:id="130" w:name="_Toc152045544"/>
      <w:bookmarkStart w:id="131" w:name="_Toc369531531"/>
      <w:r>
        <w:rPr>
          <w:rFonts w:hint="eastAsia" w:ascii="宋体" w:hAnsi="宋体" w:cs="宋体"/>
        </w:rPr>
        <w:t>人须知前附表中载明。</w:t>
      </w:r>
      <w:bookmarkEnd w:id="121"/>
      <w:bookmarkEnd w:id="122"/>
      <w:bookmarkEnd w:id="123"/>
      <w:bookmarkEnd w:id="124"/>
      <w:bookmarkEnd w:id="125"/>
      <w:bookmarkEnd w:id="126"/>
      <w:bookmarkEnd w:id="127"/>
      <w:bookmarkEnd w:id="128"/>
      <w:bookmarkEnd w:id="129"/>
      <w:bookmarkEnd w:id="130"/>
      <w:bookmarkEnd w:id="131"/>
    </w:p>
    <w:p w14:paraId="3C0FA5D8">
      <w:pPr>
        <w:spacing w:line="360" w:lineRule="auto"/>
        <w:ind w:firstLine="420" w:firstLineChars="200"/>
        <w:rPr>
          <w:rFonts w:ascii="宋体" w:hAnsi="宋体" w:cs="宋体"/>
        </w:rPr>
      </w:pPr>
      <w:r>
        <w:rPr>
          <w:rFonts w:hint="eastAsia" w:ascii="宋体" w:hAnsi="宋体" w:cs="宋体"/>
        </w:rPr>
        <w:t>3.2.9 投标报价的其他要求见投标人须知前附表。</w:t>
      </w:r>
    </w:p>
    <w:p w14:paraId="69F67F68">
      <w:pPr>
        <w:pStyle w:val="2"/>
        <w:spacing w:before="0" w:after="0" w:line="360" w:lineRule="auto"/>
        <w:ind w:firstLine="420" w:firstLineChars="200"/>
        <w:rPr>
          <w:rFonts w:ascii="宋体" w:hAnsi="宋体" w:cs="宋体"/>
          <w:b w:val="0"/>
          <w:sz w:val="21"/>
          <w:szCs w:val="21"/>
        </w:rPr>
      </w:pPr>
      <w:bookmarkStart w:id="132" w:name="_Toc234832891"/>
      <w:bookmarkStart w:id="133" w:name="_Toc517787525"/>
      <w:r>
        <w:rPr>
          <w:rFonts w:hint="eastAsia" w:ascii="宋体" w:hAnsi="宋体" w:cs="宋体"/>
          <w:b w:val="0"/>
          <w:sz w:val="21"/>
          <w:szCs w:val="21"/>
        </w:rPr>
        <w:t>3.3</w:t>
      </w:r>
      <w:r>
        <w:rPr>
          <w:rFonts w:hint="eastAsia" w:ascii="宋体" w:hAnsi="宋体" w:cs="宋体"/>
          <w:b w:val="0"/>
          <w:sz w:val="21"/>
          <w:szCs w:val="21"/>
        </w:rPr>
        <w:tab/>
      </w:r>
      <w:r>
        <w:rPr>
          <w:rFonts w:hint="eastAsia" w:ascii="宋体" w:hAnsi="宋体" w:cs="宋体"/>
          <w:b w:val="0"/>
          <w:sz w:val="21"/>
          <w:szCs w:val="21"/>
        </w:rPr>
        <w:t>投标有效期</w:t>
      </w:r>
      <w:bookmarkEnd w:id="132"/>
      <w:bookmarkEnd w:id="133"/>
    </w:p>
    <w:p w14:paraId="4B415D90">
      <w:pPr>
        <w:spacing w:line="360" w:lineRule="auto"/>
        <w:ind w:firstLine="420" w:firstLineChars="200"/>
        <w:rPr>
          <w:rFonts w:ascii="宋体" w:hAnsi="宋体" w:cs="宋体"/>
        </w:rPr>
      </w:pPr>
      <w:r>
        <w:rPr>
          <w:rFonts w:hint="eastAsia" w:ascii="宋体" w:hAnsi="宋体" w:cs="宋体"/>
        </w:rPr>
        <w:t>3.3.1 投标有效期为90日。</w:t>
      </w:r>
    </w:p>
    <w:p w14:paraId="08D89C5B">
      <w:pPr>
        <w:spacing w:line="360" w:lineRule="auto"/>
        <w:ind w:firstLine="420" w:firstLineChars="200"/>
        <w:rPr>
          <w:rFonts w:ascii="宋体" w:hAnsi="宋体" w:cs="宋体"/>
        </w:rPr>
      </w:pPr>
      <w:r>
        <w:rPr>
          <w:rFonts w:hint="eastAsia" w:ascii="宋体" w:hAnsi="宋体" w:cs="宋体"/>
        </w:rPr>
        <w:t>3.3.2 在投标有效期内，投标人撤销投标文件的，应承担招标文件和法律规定的责任。</w:t>
      </w:r>
    </w:p>
    <w:p w14:paraId="7805D9AD">
      <w:pPr>
        <w:spacing w:line="360" w:lineRule="auto"/>
        <w:ind w:firstLine="420" w:firstLineChars="200"/>
        <w:rPr>
          <w:rFonts w:ascii="宋体" w:hAnsi="宋体" w:cs="宋体"/>
        </w:rPr>
      </w:pPr>
      <w:r>
        <w:rPr>
          <w:rFonts w:hint="eastAsia" w:ascii="宋体" w:hAnsi="宋体" w:cs="宋体"/>
        </w:rPr>
        <w:t>3.3.3 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支票形式递交的投标保证金的银行同期活期存款利息。</w:t>
      </w:r>
    </w:p>
    <w:p w14:paraId="7383B03F">
      <w:pPr>
        <w:pStyle w:val="2"/>
        <w:spacing w:before="0" w:after="0" w:line="360" w:lineRule="auto"/>
        <w:ind w:firstLine="420" w:firstLineChars="200"/>
        <w:rPr>
          <w:rFonts w:ascii="宋体" w:hAnsi="宋体" w:cs="宋体"/>
          <w:b w:val="0"/>
          <w:sz w:val="21"/>
          <w:szCs w:val="21"/>
        </w:rPr>
      </w:pPr>
      <w:bookmarkStart w:id="134" w:name="_Toc517787526"/>
      <w:bookmarkStart w:id="135" w:name="_Toc234832892"/>
      <w:r>
        <w:rPr>
          <w:rFonts w:hint="eastAsia" w:ascii="宋体" w:hAnsi="宋体" w:cs="宋体"/>
          <w:b w:val="0"/>
          <w:sz w:val="21"/>
          <w:szCs w:val="21"/>
        </w:rPr>
        <w:t>3.4</w:t>
      </w:r>
      <w:r>
        <w:rPr>
          <w:rFonts w:hint="eastAsia" w:ascii="宋体" w:hAnsi="宋体" w:cs="宋体"/>
          <w:b w:val="0"/>
          <w:sz w:val="21"/>
          <w:szCs w:val="21"/>
        </w:rPr>
        <w:tab/>
      </w:r>
      <w:r>
        <w:rPr>
          <w:rFonts w:hint="eastAsia" w:ascii="宋体" w:hAnsi="宋体" w:cs="宋体"/>
          <w:b w:val="0"/>
          <w:sz w:val="21"/>
          <w:szCs w:val="21"/>
        </w:rPr>
        <w:t xml:space="preserve"> 投标保证金</w:t>
      </w:r>
      <w:bookmarkEnd w:id="134"/>
      <w:bookmarkEnd w:id="135"/>
    </w:p>
    <w:p w14:paraId="5234AC12">
      <w:pPr>
        <w:spacing w:line="360" w:lineRule="auto"/>
        <w:ind w:firstLine="420" w:firstLineChars="200"/>
        <w:rPr>
          <w:rFonts w:ascii="宋体" w:hAnsi="宋体" w:cs="宋体"/>
        </w:rPr>
      </w:pPr>
      <w:r>
        <w:rPr>
          <w:rFonts w:hint="eastAsia" w:ascii="宋体" w:hAnsi="宋体" w:cs="宋体"/>
        </w:rPr>
        <w:t>3.4.1 投标人在递交投标文件的同时，应按投标人须知前附表规定的金额和第九章“投标文件格式”规定的投标保证金格式递交投标保证金，并作为其投标文件的组成部分。联合体投标的，其投标保证金由牵头人递交，并应符合投标人须知前附表的规定。</w:t>
      </w:r>
    </w:p>
    <w:p w14:paraId="6998ED8C">
      <w:pPr>
        <w:spacing w:line="360" w:lineRule="auto"/>
        <w:ind w:firstLine="420" w:firstLineChars="200"/>
        <w:rPr>
          <w:rFonts w:ascii="宋体" w:hAnsi="宋体" w:cs="宋体"/>
        </w:rPr>
      </w:pPr>
      <w:r>
        <w:rPr>
          <w:rFonts w:hint="eastAsia" w:ascii="宋体" w:hAnsi="宋体" w:cs="宋体"/>
        </w:rPr>
        <w:t>投标保证金应采用现金、支票、银行保函或招标人在投标人须知前附表规定的其他形式。</w:t>
      </w:r>
    </w:p>
    <w:p w14:paraId="44B70447">
      <w:pPr>
        <w:spacing w:line="360" w:lineRule="auto"/>
        <w:ind w:firstLine="420" w:firstLineChars="200"/>
        <w:rPr>
          <w:rFonts w:ascii="宋体" w:hAnsi="宋体" w:cs="宋体"/>
        </w:rPr>
      </w:pPr>
      <w:r>
        <w:rPr>
          <w:rFonts w:hint="eastAsia" w:ascii="宋体" w:hAnsi="宋体" w:cs="宋体"/>
        </w:rPr>
        <w:t>（1）若采用现金或支票，投标人应在递交投标文件截止时间之前，将投标保证金由投标人的基本账户转入招标人指定账户，否则视为投标保证金无效。招标人指定的开户银行及账号见投标人须知前附表。</w:t>
      </w:r>
    </w:p>
    <w:p w14:paraId="7FE90658">
      <w:pPr>
        <w:spacing w:line="360" w:lineRule="auto"/>
        <w:ind w:firstLine="420" w:firstLineChars="200"/>
        <w:rPr>
          <w:rFonts w:ascii="宋体" w:hAnsi="宋体" w:cs="宋体"/>
        </w:rPr>
      </w:pPr>
      <w:r>
        <w:rPr>
          <w:rFonts w:hint="eastAsia" w:ascii="宋体" w:hAnsi="宋体" w:cs="宋体"/>
        </w:rPr>
        <w:t>（2）若采用银行保函，则应由符合投标人须知前附表规定级别的银行开具，并采用招标文件提供的格式。银行保函复印件装订在投标文件内，原件应在递交投标文件截止时间之前递交给招标人。</w:t>
      </w:r>
    </w:p>
    <w:p w14:paraId="5B18F823">
      <w:pPr>
        <w:spacing w:line="360" w:lineRule="auto"/>
        <w:ind w:firstLine="420" w:firstLineChars="200"/>
        <w:rPr>
          <w:rFonts w:ascii="宋体" w:hAnsi="宋体" w:cs="宋体"/>
        </w:rPr>
      </w:pPr>
      <w:r>
        <w:rPr>
          <w:rFonts w:hint="eastAsia" w:ascii="宋体" w:hAnsi="宋体" w:cs="宋体"/>
        </w:rPr>
        <w:t>无论采取何种形式的投标保证金，投标保证金有效期均应与投标有效期一致。招标人如果按本章第3.3.3项的规定延长了投标有效期，则投标保证金的有效期也相应延长。</w:t>
      </w:r>
    </w:p>
    <w:p w14:paraId="5B191CA4">
      <w:pPr>
        <w:spacing w:line="360" w:lineRule="auto"/>
        <w:ind w:firstLine="420" w:firstLineChars="200"/>
        <w:rPr>
          <w:rFonts w:ascii="宋体" w:hAnsi="宋体" w:cs="宋体"/>
        </w:rPr>
      </w:pPr>
      <w:r>
        <w:rPr>
          <w:rFonts w:hint="eastAsia" w:ascii="宋体" w:hAnsi="宋体" w:cs="宋体"/>
        </w:rPr>
        <w:t>3.4.2 投标人不按本章第3.4.1项要求提交投标保证金的，评标委员会将否决其投标。</w:t>
      </w:r>
    </w:p>
    <w:p w14:paraId="719DA9C9">
      <w:pPr>
        <w:spacing w:line="360" w:lineRule="auto"/>
        <w:ind w:firstLine="420" w:firstLineChars="200"/>
        <w:rPr>
          <w:rFonts w:ascii="宋体" w:hAnsi="宋体" w:cs="宋体"/>
        </w:rPr>
      </w:pPr>
      <w:r>
        <w:rPr>
          <w:rFonts w:hint="eastAsia" w:ascii="宋体" w:hAnsi="宋体" w:cs="宋体"/>
        </w:rPr>
        <w:t>3.4.3 招标人最迟将在中标通知书发出后5日内向中标候选人以外的其他投标人退还投标保证金，与中标人签订合同后5日内向中标人和其他中标候选人退还投标保证金。投标保证金以现金或支票形式递交的，招标人应同时退还投标保证金的银行同期活期存款利息，且退还至投标人的基本账户。</w:t>
      </w:r>
    </w:p>
    <w:p w14:paraId="15BB33F1">
      <w:pPr>
        <w:topLinePunct/>
        <w:spacing w:line="360" w:lineRule="auto"/>
        <w:ind w:firstLine="420" w:firstLineChars="200"/>
        <w:jc w:val="left"/>
        <w:rPr>
          <w:rFonts w:ascii="宋体" w:hAnsi="宋体" w:cs="宋体"/>
        </w:rPr>
      </w:pPr>
      <w:r>
        <w:rPr>
          <w:rFonts w:hint="eastAsia" w:ascii="宋体" w:hAnsi="宋体" w:cs="宋体"/>
        </w:rPr>
        <w:t>利息计算原则：（1）计算利息的起始日期为投标截止当日，终止日期为非中标候选人计息至公示开始之日，中标人计息至合同签订之日，其余中标候选人计息至中标通知书发出之日；（2）投标保证金的利息按照第（1）款所述计息时间段内招标人指定汇入银行公告的活期存款利率计付，并扣除招标人汇款手续费；（3）利息金额计算至分位，分以下尾数四舍五入。</w:t>
      </w:r>
    </w:p>
    <w:p w14:paraId="3B57D493">
      <w:pPr>
        <w:spacing w:line="360" w:lineRule="auto"/>
        <w:ind w:firstLine="420" w:firstLineChars="200"/>
        <w:rPr>
          <w:rFonts w:ascii="宋体" w:hAnsi="宋体" w:cs="宋体"/>
        </w:rPr>
      </w:pPr>
      <w:r>
        <w:rPr>
          <w:rFonts w:hint="eastAsia" w:ascii="宋体" w:hAnsi="宋体" w:cs="宋体"/>
        </w:rPr>
        <w:t>3.4.4 有下列情形之一的，投标保证金将不予退还：</w:t>
      </w:r>
    </w:p>
    <w:p w14:paraId="4F4E3259">
      <w:pPr>
        <w:spacing w:line="360" w:lineRule="auto"/>
        <w:ind w:firstLine="420" w:firstLineChars="200"/>
        <w:rPr>
          <w:rFonts w:ascii="宋体" w:hAnsi="宋体" w:cs="宋体"/>
        </w:rPr>
      </w:pPr>
      <w:r>
        <w:rPr>
          <w:rFonts w:hint="eastAsia" w:ascii="宋体" w:hAnsi="宋体" w:cs="宋体"/>
        </w:rPr>
        <w:t>（1）投标人在投标有效期内撤销投标文件；</w:t>
      </w:r>
    </w:p>
    <w:p w14:paraId="04D141D6">
      <w:pPr>
        <w:spacing w:line="360" w:lineRule="auto"/>
        <w:ind w:firstLine="420" w:firstLineChars="200"/>
        <w:rPr>
          <w:rFonts w:ascii="宋体" w:hAnsi="宋体" w:cs="宋体"/>
        </w:rPr>
      </w:pPr>
      <w:r>
        <w:rPr>
          <w:rFonts w:hint="eastAsia" w:ascii="宋体" w:hAnsi="宋体" w:cs="宋体"/>
        </w:rPr>
        <w:t>（2）中标人在收到中标通知书后，无正当理由不与招标人订立合同，在签订合同时向招标人提出附加条件，或不按照招标文件要求提交履约保证金；</w:t>
      </w:r>
    </w:p>
    <w:p w14:paraId="19058097">
      <w:pPr>
        <w:spacing w:line="360" w:lineRule="auto"/>
        <w:ind w:firstLine="420" w:firstLineChars="200"/>
        <w:rPr>
          <w:rFonts w:ascii="宋体" w:hAnsi="宋体" w:cs="宋体"/>
        </w:rPr>
      </w:pPr>
      <w:r>
        <w:rPr>
          <w:rFonts w:hint="eastAsia" w:ascii="宋体" w:hAnsi="宋体" w:cs="宋体"/>
        </w:rPr>
        <w:t>（3）投标人存在串通投标、弄虚作假、行贿等违法行为；</w:t>
      </w:r>
    </w:p>
    <w:p w14:paraId="390C3F31">
      <w:pPr>
        <w:spacing w:line="360" w:lineRule="auto"/>
        <w:ind w:firstLine="420" w:firstLineChars="200"/>
        <w:rPr>
          <w:rFonts w:ascii="宋体" w:hAnsi="宋体" w:cs="宋体"/>
        </w:rPr>
      </w:pPr>
      <w:r>
        <w:rPr>
          <w:rFonts w:hint="eastAsia" w:ascii="宋体" w:hAnsi="宋体" w:cs="宋体"/>
        </w:rPr>
        <w:t>（4）发生投标人须知前附表规定的其他可以不予退还投标保证金的情形。</w:t>
      </w:r>
    </w:p>
    <w:p w14:paraId="71B9DB6B">
      <w:pPr>
        <w:pStyle w:val="2"/>
        <w:spacing w:before="0" w:after="0" w:line="360" w:lineRule="auto"/>
        <w:ind w:firstLine="420" w:firstLineChars="200"/>
        <w:rPr>
          <w:rFonts w:ascii="宋体" w:hAnsi="宋体" w:cs="宋体"/>
          <w:b w:val="0"/>
          <w:sz w:val="21"/>
          <w:szCs w:val="21"/>
        </w:rPr>
      </w:pPr>
      <w:bookmarkStart w:id="136" w:name="_Toc517787528"/>
      <w:bookmarkStart w:id="137" w:name="_Toc234832894"/>
      <w:r>
        <w:rPr>
          <w:rFonts w:hint="eastAsia" w:ascii="宋体" w:hAnsi="宋体" w:cs="宋体"/>
          <w:b w:val="0"/>
          <w:sz w:val="21"/>
          <w:szCs w:val="21"/>
        </w:rPr>
        <w:t>3.5</w:t>
      </w:r>
      <w:r>
        <w:rPr>
          <w:rFonts w:hint="eastAsia" w:ascii="宋体" w:hAnsi="宋体" w:cs="宋体"/>
          <w:b w:val="0"/>
          <w:sz w:val="21"/>
          <w:szCs w:val="21"/>
        </w:rPr>
        <w:tab/>
      </w:r>
      <w:r>
        <w:rPr>
          <w:rFonts w:hint="eastAsia" w:ascii="宋体" w:hAnsi="宋体" w:cs="宋体"/>
          <w:b w:val="0"/>
          <w:sz w:val="21"/>
          <w:szCs w:val="21"/>
        </w:rPr>
        <w:t xml:space="preserve"> 资格审查资料</w:t>
      </w:r>
      <w:bookmarkEnd w:id="136"/>
      <w:bookmarkEnd w:id="137"/>
    </w:p>
    <w:p w14:paraId="09D0C3E2">
      <w:pPr>
        <w:spacing w:line="360" w:lineRule="auto"/>
        <w:ind w:firstLine="420" w:firstLineChars="200"/>
        <w:rPr>
          <w:rFonts w:ascii="宋体" w:hAnsi="宋体" w:cs="宋体"/>
        </w:rPr>
      </w:pPr>
      <w:bookmarkStart w:id="138" w:name="_Toc517787529"/>
      <w:bookmarkStart w:id="139" w:name="_Toc234832895"/>
      <w:r>
        <w:rPr>
          <w:rFonts w:hint="eastAsia" w:ascii="宋体" w:hAnsi="宋体" w:cs="宋体"/>
        </w:rPr>
        <w:t>除投标人须知前附表另有规定外，投标人应按下列规定提供资格审查资料，以证明其满足本章第1.4款规定的资质、财务、业绩、信誉等要求。</w:t>
      </w:r>
    </w:p>
    <w:p w14:paraId="7CC39C4C">
      <w:pPr>
        <w:spacing w:line="360" w:lineRule="auto"/>
        <w:ind w:firstLine="420" w:firstLineChars="200"/>
        <w:rPr>
          <w:rFonts w:ascii="宋体" w:hAnsi="宋体" w:cs="宋体"/>
        </w:rPr>
      </w:pPr>
      <w:r>
        <w:rPr>
          <w:rFonts w:hint="eastAsia" w:ascii="宋体" w:hAnsi="宋体" w:cs="宋体"/>
        </w:rPr>
        <w:t>3.5.1 投标人应在“江苏省公路水路建设市场信用信息服务系统”或交通运输部“公路建设市场信用信息管理系统”中建立信用信息档案，并对在系统中所填报内容的真实性、准确性和完整性负责。</w:t>
      </w:r>
    </w:p>
    <w:p w14:paraId="67A4EBE7">
      <w:pPr>
        <w:spacing w:line="360" w:lineRule="auto"/>
        <w:ind w:firstLine="420" w:firstLineChars="200"/>
        <w:rPr>
          <w:rFonts w:ascii="宋体" w:hAnsi="宋体" w:cs="宋体"/>
          <w:i/>
          <w:iCs/>
          <w:strike/>
        </w:rPr>
      </w:pPr>
      <w:r>
        <w:rPr>
          <w:rFonts w:hint="eastAsia" w:ascii="宋体" w:hAnsi="宋体" w:cs="宋体"/>
        </w:rPr>
        <w:t>若采用“江苏省公路水运建设市场信用信息服务系统”生成报表作为资格审查资料组成内容的，第3.5.2项采用以下条款：</w:t>
      </w:r>
    </w:p>
    <w:p w14:paraId="68113EA5">
      <w:pPr>
        <w:spacing w:line="360" w:lineRule="auto"/>
        <w:ind w:firstLine="420" w:firstLineChars="200"/>
        <w:rPr>
          <w:rFonts w:ascii="宋体" w:hAnsi="宋体" w:cs="宋体"/>
        </w:rPr>
      </w:pPr>
      <w:r>
        <w:rPr>
          <w:rFonts w:hint="eastAsia" w:ascii="宋体" w:hAnsi="宋体" w:cs="宋体"/>
        </w:rPr>
        <w:t>3.5.2投标人应使用“江苏省公路水运建设市场信用信息服务系统”，按照招标文件第九章“投标文件格式”“九、资格审查资料（适用于采用系统生成投标报表作为资格审查资料的）”部分相应规定，编制生成并打印下列《投标报表》作为投标文件中的资格审查资料组成内容：</w:t>
      </w:r>
    </w:p>
    <w:p w14:paraId="24D7B4FD">
      <w:pPr>
        <w:spacing w:line="360" w:lineRule="auto"/>
        <w:ind w:firstLine="420" w:firstLineChars="200"/>
        <w:rPr>
          <w:rFonts w:ascii="宋体" w:hAnsi="宋体" w:cs="宋体"/>
        </w:rPr>
      </w:pPr>
      <w:r>
        <w:rPr>
          <w:rFonts w:hint="eastAsia" w:ascii="宋体" w:hAnsi="宋体" w:cs="宋体"/>
        </w:rPr>
        <w:t>（1）企业基本信息表</w:t>
      </w:r>
    </w:p>
    <w:p w14:paraId="3090119F">
      <w:pPr>
        <w:spacing w:line="360" w:lineRule="auto"/>
        <w:ind w:firstLine="420" w:firstLineChars="200"/>
        <w:rPr>
          <w:rFonts w:ascii="宋体" w:hAnsi="宋体" w:cs="宋体"/>
        </w:rPr>
      </w:pPr>
      <w:r>
        <w:rPr>
          <w:rFonts w:hint="eastAsia" w:ascii="宋体" w:hAnsi="宋体" w:cs="宋体"/>
        </w:rPr>
        <w:t>（2）企业财务信息表</w:t>
      </w:r>
    </w:p>
    <w:p w14:paraId="554A843C">
      <w:pPr>
        <w:spacing w:line="360" w:lineRule="auto"/>
        <w:ind w:firstLine="420" w:firstLineChars="200"/>
        <w:rPr>
          <w:rFonts w:ascii="宋体" w:hAnsi="宋体" w:cs="宋体"/>
        </w:rPr>
      </w:pPr>
      <w:r>
        <w:rPr>
          <w:rFonts w:hint="eastAsia" w:ascii="宋体" w:hAnsi="宋体" w:cs="宋体"/>
        </w:rPr>
        <w:t>（3）拟投入本标段主要人员情况表</w:t>
      </w:r>
    </w:p>
    <w:p w14:paraId="5E732A63">
      <w:pPr>
        <w:spacing w:line="360" w:lineRule="auto"/>
        <w:ind w:firstLine="420" w:firstLineChars="200"/>
        <w:rPr>
          <w:rFonts w:ascii="宋体" w:hAnsi="宋体" w:cs="宋体"/>
        </w:rPr>
      </w:pPr>
      <w:r>
        <w:rPr>
          <w:rFonts w:hint="eastAsia" w:ascii="宋体" w:hAnsi="宋体" w:cs="宋体"/>
        </w:rPr>
        <w:t>（4）拟投入本标段主要人员经历表</w:t>
      </w:r>
    </w:p>
    <w:p w14:paraId="5ADA9CB3">
      <w:pPr>
        <w:spacing w:line="360" w:lineRule="auto"/>
        <w:ind w:firstLine="420" w:firstLineChars="200"/>
        <w:rPr>
          <w:rFonts w:ascii="宋体" w:hAnsi="宋体" w:cs="宋体"/>
        </w:rPr>
      </w:pPr>
      <w:r>
        <w:rPr>
          <w:rFonts w:hint="eastAsia" w:ascii="宋体" w:hAnsi="宋体" w:cs="宋体"/>
        </w:rPr>
        <w:t>（5）已建工程表</w:t>
      </w:r>
    </w:p>
    <w:p w14:paraId="667BA980">
      <w:pPr>
        <w:spacing w:line="360" w:lineRule="auto"/>
        <w:ind w:firstLine="420" w:firstLineChars="200"/>
        <w:rPr>
          <w:rFonts w:ascii="宋体" w:hAnsi="宋体" w:cs="宋体"/>
        </w:rPr>
      </w:pPr>
      <w:r>
        <w:rPr>
          <w:rFonts w:hint="eastAsia" w:ascii="宋体" w:hAnsi="宋体" w:cs="宋体"/>
        </w:rPr>
        <w:t>（6）投标人/申请人与其他单位存在控股、管理关系情况表</w:t>
      </w:r>
    </w:p>
    <w:p w14:paraId="734543CB">
      <w:pPr>
        <w:spacing w:line="360" w:lineRule="auto"/>
        <w:ind w:firstLine="420" w:firstLineChars="200"/>
        <w:rPr>
          <w:rFonts w:ascii="宋体" w:hAnsi="宋体" w:cs="宋体"/>
        </w:rPr>
      </w:pPr>
      <w:r>
        <w:rPr>
          <w:rFonts w:hint="eastAsia" w:ascii="宋体" w:hAnsi="宋体" w:cs="宋体"/>
        </w:rPr>
        <w:t>以上《投标报表》内容，不需另行提供证明材料。</w:t>
      </w:r>
    </w:p>
    <w:p w14:paraId="0153491D">
      <w:pPr>
        <w:spacing w:line="360" w:lineRule="auto"/>
        <w:ind w:firstLine="420" w:firstLineChars="200"/>
        <w:rPr>
          <w:rFonts w:ascii="宋体" w:hAnsi="宋体" w:cs="宋体"/>
        </w:rPr>
      </w:pPr>
      <w:r>
        <w:rPr>
          <w:rFonts w:hint="eastAsia" w:ascii="宋体" w:hAnsi="宋体" w:cs="宋体"/>
        </w:rPr>
        <w:t>若投标人需要使用已录入“江苏省公路水运建设市场信用信息服务系统”的信息数据作为投标文件组成内容，但部分已在该系统中录入、更新的信息数据在生成的《投标报表》中未反映，则应提供“江苏省公路水路建设市场信用信息服务系统”中查询到该信息数据的网页截图复印件作为证明材料。</w:t>
      </w:r>
    </w:p>
    <w:p w14:paraId="2266CCB0">
      <w:pPr>
        <w:spacing w:line="360" w:lineRule="auto"/>
        <w:ind w:firstLine="420" w:firstLineChars="200"/>
        <w:rPr>
          <w:rFonts w:ascii="宋体" w:hAnsi="宋体" w:cs="宋体"/>
          <w:i/>
          <w:iCs/>
        </w:rPr>
      </w:pPr>
      <w:r>
        <w:rPr>
          <w:rFonts w:hint="eastAsia" w:ascii="宋体" w:hAnsi="宋体" w:cs="宋体"/>
        </w:rPr>
        <w:t>若不采用“江苏省公路水运建设市场信用信息服务系统”生成报表作为资格审查资料组成内容的，第3.5.2项采用以下条款：</w:t>
      </w:r>
    </w:p>
    <w:p w14:paraId="1F3B32D5">
      <w:pPr>
        <w:spacing w:line="360" w:lineRule="auto"/>
        <w:ind w:firstLine="420" w:firstLineChars="200"/>
        <w:rPr>
          <w:rFonts w:ascii="宋体" w:hAnsi="宋体" w:cs="宋体"/>
        </w:rPr>
      </w:pPr>
      <w:r>
        <w:rPr>
          <w:rFonts w:hint="eastAsia" w:ascii="宋体" w:hAnsi="宋体" w:cs="宋体"/>
        </w:rPr>
        <w:t>3.5.2投标人应按照招标文件第九章“投标文件格式”“九、资格审查资料（适用于不采用系统生成投标报表作为资格审查资料的）”部分相应规定和格式，自行编制并打印下列《投标报表》作为投标文件中的资格审查资料组成内容：</w:t>
      </w:r>
    </w:p>
    <w:p w14:paraId="6B5BF7E3">
      <w:pPr>
        <w:spacing w:line="360" w:lineRule="auto"/>
        <w:ind w:firstLine="420" w:firstLineChars="200"/>
        <w:rPr>
          <w:rFonts w:ascii="宋体" w:hAnsi="宋体" w:cs="宋体"/>
        </w:rPr>
      </w:pPr>
      <w:r>
        <w:rPr>
          <w:rFonts w:hint="eastAsia" w:ascii="宋体" w:hAnsi="宋体" w:cs="宋体"/>
        </w:rPr>
        <w:t>（1）企业基本信息表</w:t>
      </w:r>
    </w:p>
    <w:p w14:paraId="571BD9A2">
      <w:pPr>
        <w:spacing w:line="360" w:lineRule="auto"/>
        <w:ind w:firstLine="420" w:firstLineChars="200"/>
        <w:rPr>
          <w:rFonts w:ascii="宋体" w:hAnsi="宋体" w:cs="宋体"/>
        </w:rPr>
      </w:pPr>
      <w:r>
        <w:rPr>
          <w:rFonts w:hint="eastAsia" w:ascii="宋体" w:hAnsi="宋体" w:cs="宋体"/>
        </w:rPr>
        <w:t>（2）企业财务信息表</w:t>
      </w:r>
    </w:p>
    <w:p w14:paraId="407927D0">
      <w:pPr>
        <w:spacing w:line="360" w:lineRule="auto"/>
        <w:ind w:firstLine="420" w:firstLineChars="200"/>
        <w:rPr>
          <w:rFonts w:ascii="宋体" w:hAnsi="宋体" w:cs="宋体"/>
        </w:rPr>
      </w:pPr>
      <w:r>
        <w:rPr>
          <w:rFonts w:hint="eastAsia" w:ascii="宋体" w:hAnsi="宋体" w:cs="宋体"/>
        </w:rPr>
        <w:t>（3）拟投入本标段主要人员情况表</w:t>
      </w:r>
    </w:p>
    <w:p w14:paraId="5D93369E">
      <w:pPr>
        <w:spacing w:line="360" w:lineRule="auto"/>
        <w:ind w:firstLine="420" w:firstLineChars="200"/>
        <w:rPr>
          <w:rFonts w:ascii="宋体" w:hAnsi="宋体" w:cs="宋体"/>
        </w:rPr>
      </w:pPr>
      <w:r>
        <w:rPr>
          <w:rFonts w:hint="eastAsia" w:ascii="宋体" w:hAnsi="宋体" w:cs="宋体"/>
        </w:rPr>
        <w:t>（4）拟投入本标段主要人员经历表</w:t>
      </w:r>
    </w:p>
    <w:p w14:paraId="42BBC421">
      <w:pPr>
        <w:spacing w:line="360" w:lineRule="auto"/>
        <w:ind w:firstLine="420" w:firstLineChars="200"/>
        <w:rPr>
          <w:rFonts w:ascii="宋体" w:hAnsi="宋体" w:cs="宋体"/>
        </w:rPr>
      </w:pPr>
      <w:r>
        <w:rPr>
          <w:rFonts w:hint="eastAsia" w:ascii="宋体" w:hAnsi="宋体" w:cs="宋体"/>
        </w:rPr>
        <w:t>（5）已建工程表</w:t>
      </w:r>
    </w:p>
    <w:p w14:paraId="0C3B5D6B">
      <w:pPr>
        <w:spacing w:line="360" w:lineRule="auto"/>
        <w:ind w:firstLine="420" w:firstLineChars="200"/>
        <w:rPr>
          <w:rFonts w:ascii="宋体" w:hAnsi="宋体" w:cs="宋体"/>
        </w:rPr>
      </w:pPr>
      <w:r>
        <w:rPr>
          <w:rFonts w:hint="eastAsia" w:ascii="宋体" w:hAnsi="宋体" w:cs="宋体"/>
        </w:rPr>
        <w:t>（6）投标人与其他单位存在控股、管理关系情况表</w:t>
      </w:r>
    </w:p>
    <w:p w14:paraId="0BF09F80">
      <w:pPr>
        <w:spacing w:line="360" w:lineRule="auto"/>
        <w:ind w:firstLine="420" w:firstLineChars="200"/>
        <w:rPr>
          <w:rFonts w:ascii="宋体" w:hAnsi="宋体" w:cs="宋体"/>
        </w:rPr>
      </w:pPr>
      <w:r>
        <w:rPr>
          <w:rFonts w:hint="eastAsia" w:ascii="宋体" w:hAnsi="宋体" w:cs="宋体"/>
        </w:rPr>
        <w:t>以上《投标报表》内容，应提供“江苏省公路水运建设市场信用信息服务系统”或交通运输部“公路建设市场信用信息管理系统”或“江苏省公共资源交易平台”中可查询的信息数据的网页截图复印件作为证明材料。</w:t>
      </w:r>
    </w:p>
    <w:p w14:paraId="2A40D372">
      <w:pPr>
        <w:spacing w:line="360" w:lineRule="auto"/>
        <w:ind w:firstLine="420" w:firstLineChars="200"/>
        <w:rPr>
          <w:rFonts w:ascii="宋体" w:hAnsi="宋体" w:cs="宋体"/>
        </w:rPr>
      </w:pPr>
      <w:r>
        <w:rPr>
          <w:rFonts w:hint="eastAsia" w:ascii="宋体" w:hAnsi="宋体" w:cs="宋体"/>
        </w:rPr>
        <w:t>3.5.3除了按照上述3.5.2项要求提供资格审查资料外，投标人还应提供下列资格审查资料：</w:t>
      </w:r>
    </w:p>
    <w:p w14:paraId="02E7B1F2">
      <w:pPr>
        <w:spacing w:line="360" w:lineRule="auto"/>
        <w:ind w:firstLine="420" w:firstLineChars="200"/>
        <w:rPr>
          <w:rFonts w:ascii="宋体" w:hAnsi="宋体" w:cs="宋体"/>
        </w:rPr>
      </w:pPr>
      <w:r>
        <w:rPr>
          <w:rFonts w:hint="eastAsia" w:ascii="宋体" w:hAnsi="宋体" w:cs="宋体"/>
        </w:rPr>
        <w:t>（1）投标人应在“信用情况表”中填报投标人及投入项目经理、项目总工在“江苏省公路水路建设市场信用信息服务系统”查询的最新评价结果，并提供“江苏省公路水路建设市场信用信息服务系统”可查询的评价结果的网页截图复印件作为证明材料。</w:t>
      </w:r>
    </w:p>
    <w:p w14:paraId="4359BC56">
      <w:pPr>
        <w:spacing w:line="360" w:lineRule="auto"/>
        <w:ind w:firstLine="420" w:firstLineChars="200"/>
        <w:rPr>
          <w:rFonts w:ascii="宋体" w:hAnsi="宋体" w:cs="宋体"/>
        </w:rPr>
      </w:pPr>
      <w:r>
        <w:rPr>
          <w:rFonts w:hint="eastAsia" w:ascii="宋体" w:hAnsi="宋体" w:cs="宋体"/>
        </w:rPr>
        <w:t>（2）投标人在国家企业信用信息公示系统中未被列入严重违法失信企业名单的网页截图复印件；</w:t>
      </w:r>
    </w:p>
    <w:p w14:paraId="4E1333A4">
      <w:pPr>
        <w:spacing w:line="360" w:lineRule="auto"/>
        <w:ind w:firstLine="420" w:firstLineChars="200"/>
        <w:rPr>
          <w:rFonts w:ascii="宋体" w:hAnsi="宋体" w:cs="宋体"/>
        </w:rPr>
      </w:pPr>
      <w:r>
        <w:rPr>
          <w:rFonts w:hint="eastAsia" w:ascii="宋体" w:hAnsi="宋体" w:cs="宋体"/>
        </w:rPr>
        <w:t>（3）投标人在“信用中国”网站中未被列入失信被执行人名单的网页截图复印件；</w:t>
      </w:r>
    </w:p>
    <w:p w14:paraId="21D15AF9">
      <w:pPr>
        <w:spacing w:line="360" w:lineRule="auto"/>
        <w:ind w:firstLine="420" w:firstLineChars="200"/>
        <w:rPr>
          <w:rFonts w:ascii="宋体" w:hAnsi="宋体" w:cs="宋体"/>
        </w:rPr>
      </w:pPr>
      <w:r>
        <w:rPr>
          <w:rFonts w:hint="eastAsia" w:ascii="宋体" w:hAnsi="宋体" w:cs="宋体"/>
        </w:rPr>
        <w:t>（4）投标人所属社保机构出具的拟委任的项目经理和项目总工的社保缴费证明或其他能够证明拟委任的项目经理和项目总工参加社保的有效证明材料复印件。</w:t>
      </w:r>
    </w:p>
    <w:p w14:paraId="27FED36F">
      <w:pPr>
        <w:spacing w:line="360" w:lineRule="auto"/>
        <w:ind w:firstLine="420" w:firstLineChars="200"/>
        <w:rPr>
          <w:rFonts w:ascii="宋体" w:hAnsi="宋体" w:cs="宋体"/>
        </w:rPr>
      </w:pPr>
      <w:r>
        <w:rPr>
          <w:rFonts w:hint="eastAsia" w:ascii="宋体" w:hAnsi="宋体" w:cs="宋体"/>
        </w:rPr>
        <w:t>（5）如拟委任的项目经理或项目总工目前仍在其他项目标段上任职，则投标人应提供由该项目发包人出具的该项目标段主体工程已经完成且承诺上述人员能够立即从该项目撤离的书面证明材料原件，可撤离证明的格式与内容要求见投标人须知附录；</w:t>
      </w:r>
    </w:p>
    <w:p w14:paraId="10550961">
      <w:pPr>
        <w:spacing w:line="360" w:lineRule="auto"/>
        <w:ind w:firstLine="420" w:firstLineChars="200"/>
        <w:rPr>
          <w:rFonts w:ascii="宋体" w:hAnsi="宋体" w:cs="宋体"/>
        </w:rPr>
      </w:pPr>
      <w:r>
        <w:rPr>
          <w:rFonts w:hint="eastAsia" w:ascii="宋体" w:hAnsi="宋体" w:cs="宋体"/>
        </w:rPr>
        <w:t>（6）投标人须知前附表中要求提供的其他资格审查资料。</w:t>
      </w:r>
    </w:p>
    <w:p w14:paraId="2FCB93AF">
      <w:pPr>
        <w:spacing w:line="360" w:lineRule="auto"/>
        <w:ind w:firstLine="420" w:firstLineChars="200"/>
        <w:rPr>
          <w:rFonts w:ascii="宋体" w:hAnsi="宋体" w:cs="宋体"/>
        </w:rPr>
      </w:pPr>
      <w:r>
        <w:rPr>
          <w:rFonts w:hint="eastAsia" w:ascii="宋体" w:hAnsi="宋体" w:cs="宋体"/>
        </w:rPr>
        <w:t>3.5.4若投标人装订在投标文件中的《投标报表》的打印件与“江苏省公路水路建设市场信用信息服务系统”中的最终版本内容不一致，或者系统网页截图复印件与“江苏省公路水路建设市场信用信息服务系统”或交通运输部“公路建设市场信用信息管理系统”或“江苏省公共资源交易平台”的相应网页内容不一致，使得投标人的资格条件不符合招标文件规定的，否决其投标，但信用等级按规定调整除外。</w:t>
      </w:r>
    </w:p>
    <w:p w14:paraId="4E49E71B">
      <w:pPr>
        <w:spacing w:line="360" w:lineRule="auto"/>
        <w:ind w:firstLine="420" w:firstLineChars="200"/>
        <w:rPr>
          <w:rFonts w:ascii="宋体" w:hAnsi="宋体" w:cs="宋体"/>
        </w:rPr>
      </w:pPr>
      <w:r>
        <w:rPr>
          <w:rFonts w:hint="eastAsia" w:ascii="宋体" w:hAnsi="宋体" w:cs="宋体"/>
        </w:rPr>
        <w:t xml:space="preserve">3.5.5投标人须知前附表规定接受联合体投标的，本章第 3.5.2 项规定的表格和资料应包括联合体各方相关情况。联合体各方分别编制生成投标报表，并在投标文件中专门书面声明拟委任项目经理和项目总工。 </w:t>
      </w:r>
    </w:p>
    <w:p w14:paraId="72581C22">
      <w:pPr>
        <w:spacing w:line="360" w:lineRule="auto"/>
        <w:ind w:firstLine="420" w:firstLineChars="200"/>
        <w:rPr>
          <w:rFonts w:ascii="宋体" w:hAnsi="宋体" w:cs="宋体"/>
        </w:rPr>
      </w:pPr>
      <w:r>
        <w:rPr>
          <w:rFonts w:hint="eastAsia" w:ascii="宋体" w:hAnsi="宋体" w:cs="宋体"/>
        </w:rPr>
        <w:t>3.5.6招标人有权核查投标人在投标文件中提供的资料，若在评标期间发现投标人提供了虚假资料，其投标将被否决；若在签订合同前发现作为中标候选人的投标人提供了虚假资料，招标人有权取消其中标资格；若在合同实施期间发现投标人提供了虚假资料，招标人有权从工程支付款或履约保证金中扣除不超过10％签约合同价的金额作为违约金。同时招标人将投标人上述弄虚作假行为上报省级交通运输主管部门，作为不良记录纳入公路建设市场信用信息管理系统。</w:t>
      </w:r>
    </w:p>
    <w:p w14:paraId="69C70553">
      <w:pPr>
        <w:pStyle w:val="2"/>
        <w:spacing w:before="0" w:after="0" w:line="360" w:lineRule="auto"/>
        <w:ind w:firstLine="420" w:firstLineChars="200"/>
        <w:rPr>
          <w:rFonts w:ascii="宋体" w:hAnsi="宋体" w:cs="宋体"/>
          <w:b w:val="0"/>
          <w:sz w:val="21"/>
          <w:szCs w:val="21"/>
        </w:rPr>
      </w:pPr>
      <w:r>
        <w:rPr>
          <w:rFonts w:hint="eastAsia" w:ascii="宋体" w:hAnsi="宋体" w:cs="宋体"/>
          <w:b w:val="0"/>
          <w:sz w:val="21"/>
          <w:szCs w:val="21"/>
        </w:rPr>
        <w:t>3.6 备选投标方案</w:t>
      </w:r>
      <w:bookmarkEnd w:id="138"/>
      <w:bookmarkEnd w:id="139"/>
    </w:p>
    <w:p w14:paraId="32006EC1">
      <w:pPr>
        <w:spacing w:line="360" w:lineRule="auto"/>
        <w:ind w:firstLine="420" w:firstLineChars="200"/>
        <w:rPr>
          <w:rFonts w:ascii="宋体" w:hAnsi="宋体" w:cs="宋体"/>
        </w:rPr>
      </w:pPr>
      <w:r>
        <w:rPr>
          <w:rFonts w:hint="eastAsia" w:ascii="宋体" w:hAnsi="宋体" w:cs="宋体"/>
        </w:rPr>
        <w:t>3.6.1 除投标人须知前附表规定允许外，投标人不得递交备选投标方案，否则其投标将被否决。</w:t>
      </w:r>
    </w:p>
    <w:p w14:paraId="11D5D654">
      <w:pPr>
        <w:spacing w:line="360" w:lineRule="auto"/>
        <w:ind w:firstLine="420" w:firstLineChars="200"/>
        <w:rPr>
          <w:rFonts w:ascii="宋体" w:hAnsi="宋体" w:cs="宋体"/>
        </w:rPr>
      </w:pPr>
      <w:r>
        <w:rPr>
          <w:rFonts w:hint="eastAsia" w:ascii="宋体" w:hAnsi="宋体" w:cs="宋体"/>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14:paraId="7346C4FE">
      <w:pPr>
        <w:spacing w:line="360" w:lineRule="auto"/>
        <w:ind w:firstLine="420" w:firstLineChars="200"/>
        <w:rPr>
          <w:rFonts w:ascii="宋体" w:hAnsi="宋体" w:cs="宋体"/>
        </w:rPr>
      </w:pPr>
      <w:r>
        <w:rPr>
          <w:rFonts w:hint="eastAsia" w:ascii="宋体" w:hAnsi="宋体" w:cs="宋体"/>
        </w:rPr>
        <w:t>3.6.3 投标人提供两个或两个以上投标报价，或在投标文件中提供一个报价，但同时提供两个或两个以上</w:t>
      </w:r>
      <w:bookmarkStart w:id="140" w:name="_Toc152045550"/>
      <w:bookmarkStart w:id="141" w:name="_Toc369531538"/>
      <w:bookmarkStart w:id="142" w:name="_Toc300834971"/>
      <w:bookmarkStart w:id="143" w:name="_Toc361508607"/>
      <w:bookmarkStart w:id="144" w:name="_Toc144974518"/>
      <w:bookmarkStart w:id="145" w:name="_Toc29902"/>
      <w:bookmarkStart w:id="146" w:name="_Toc384308232"/>
      <w:bookmarkStart w:id="147" w:name="_Toc247513974"/>
      <w:bookmarkStart w:id="148" w:name="_Toc352691495"/>
      <w:bookmarkStart w:id="149" w:name="_Toc152042326"/>
      <w:bookmarkStart w:id="150" w:name="_Toc247527575"/>
      <w:r>
        <w:rPr>
          <w:rFonts w:hint="eastAsia" w:ascii="宋体" w:hAnsi="宋体" w:cs="宋体"/>
        </w:rPr>
        <w:t>施工组织设计的</w:t>
      </w:r>
      <w:bookmarkEnd w:id="140"/>
      <w:bookmarkEnd w:id="141"/>
      <w:bookmarkEnd w:id="142"/>
      <w:bookmarkEnd w:id="143"/>
      <w:bookmarkEnd w:id="144"/>
      <w:bookmarkEnd w:id="145"/>
      <w:bookmarkEnd w:id="146"/>
      <w:bookmarkEnd w:id="147"/>
      <w:bookmarkEnd w:id="148"/>
      <w:bookmarkEnd w:id="149"/>
      <w:bookmarkEnd w:id="150"/>
      <w:r>
        <w:rPr>
          <w:rFonts w:hint="eastAsia" w:ascii="宋体" w:hAnsi="宋体" w:cs="宋体"/>
        </w:rPr>
        <w:t>，视为提供备选方案。</w:t>
      </w:r>
    </w:p>
    <w:p w14:paraId="399D5949">
      <w:pPr>
        <w:pStyle w:val="2"/>
        <w:spacing w:before="0" w:after="0" w:line="360" w:lineRule="auto"/>
        <w:ind w:firstLine="420" w:firstLineChars="200"/>
        <w:rPr>
          <w:rFonts w:ascii="宋体" w:hAnsi="宋体" w:cs="宋体"/>
          <w:b w:val="0"/>
          <w:sz w:val="21"/>
          <w:szCs w:val="21"/>
        </w:rPr>
      </w:pPr>
      <w:bookmarkStart w:id="151" w:name="_Toc234832896"/>
      <w:bookmarkStart w:id="152" w:name="_Toc517787530"/>
      <w:r>
        <w:rPr>
          <w:rFonts w:hint="eastAsia" w:ascii="宋体" w:hAnsi="宋体" w:cs="宋体"/>
          <w:b w:val="0"/>
          <w:sz w:val="21"/>
          <w:szCs w:val="21"/>
        </w:rPr>
        <w:t>3.7 投标文件的编制</w:t>
      </w:r>
      <w:bookmarkEnd w:id="151"/>
      <w:bookmarkEnd w:id="152"/>
    </w:p>
    <w:p w14:paraId="042CEF6F">
      <w:pPr>
        <w:spacing w:line="360" w:lineRule="auto"/>
        <w:ind w:firstLine="420" w:firstLineChars="200"/>
        <w:rPr>
          <w:rFonts w:ascii="宋体" w:hAnsi="宋体" w:cs="宋体"/>
        </w:rPr>
      </w:pPr>
      <w:r>
        <w:rPr>
          <w:rFonts w:hint="eastAsia" w:ascii="宋体" w:hAnsi="宋体" w:cs="宋体"/>
        </w:rPr>
        <w:t>3.7.1 投标文件应按第九章“投标文件格式”进行编写，如有必要，可以增加附页，作为投标文件的组成部分。其中，投标函附录在满足招标文件实质性要求的基础上，可以提出比招标文件要求更有利于招标人的承诺。</w:t>
      </w:r>
    </w:p>
    <w:p w14:paraId="41B0A526">
      <w:pPr>
        <w:spacing w:line="360" w:lineRule="auto"/>
        <w:ind w:firstLine="420" w:firstLineChars="200"/>
        <w:rPr>
          <w:rFonts w:ascii="宋体" w:hAnsi="宋体" w:cs="宋体"/>
          <w:iCs/>
        </w:rPr>
      </w:pPr>
      <w:r>
        <w:rPr>
          <w:rFonts w:hint="eastAsia" w:ascii="宋体" w:hAnsi="宋体" w:cs="宋体"/>
        </w:rPr>
        <w:t>3.7.2 投标文件应对招标文件有关</w:t>
      </w:r>
      <w:r>
        <w:rPr>
          <w:rFonts w:hint="eastAsia" w:ascii="宋体" w:hAnsi="宋体" w:cs="宋体"/>
          <w:iCs/>
        </w:rPr>
        <w:t>工期、投标有效期、质量要求、</w:t>
      </w:r>
      <w:r>
        <w:rPr>
          <w:rFonts w:hint="eastAsia" w:ascii="宋体" w:hAnsi="宋体" w:cs="宋体"/>
        </w:rPr>
        <w:t>安全目标、</w:t>
      </w:r>
      <w:r>
        <w:rPr>
          <w:rFonts w:hint="eastAsia" w:ascii="宋体" w:hAnsi="宋体" w:cs="宋体"/>
          <w:iCs/>
        </w:rPr>
        <w:t>技术标准和要求、招标范围等实质性内容作出响应。</w:t>
      </w:r>
    </w:p>
    <w:p w14:paraId="7A91EFF5">
      <w:pPr>
        <w:spacing w:line="360" w:lineRule="auto"/>
        <w:ind w:firstLine="420" w:firstLineChars="200"/>
        <w:rPr>
          <w:rFonts w:ascii="宋体" w:hAnsi="宋体" w:cs="宋体"/>
        </w:rPr>
      </w:pPr>
      <w:r>
        <w:rPr>
          <w:rFonts w:hint="eastAsia" w:ascii="宋体" w:hAnsi="宋体" w:cs="宋体"/>
        </w:rPr>
        <w:t>3.7.3 投标文件应用不褪色的材料书写或打印。投标文件格式中明确要求投标人法定代表人或其委托代理人签字之处，必须由相关人员亲笔签名，不得使用印章、签名章或其他电子制版签名代替；明确要求投标人加盖单位章之处，必须加盖单位章。其中，投标函、调价函及对投标文件的澄清和说明应加盖投标人单位章，或由投标人的法定代表人或其委托代理人签字。</w:t>
      </w:r>
    </w:p>
    <w:p w14:paraId="17EAB5D1">
      <w:pPr>
        <w:spacing w:line="360" w:lineRule="auto"/>
        <w:ind w:firstLine="420" w:firstLineChars="200"/>
        <w:rPr>
          <w:rFonts w:ascii="宋体" w:hAnsi="宋体" w:cs="宋体"/>
        </w:rPr>
      </w:pPr>
      <w:r>
        <w:rPr>
          <w:rFonts w:hint="eastAsia" w:ascii="宋体" w:hAnsi="宋体" w:cs="宋体"/>
        </w:rPr>
        <w:t>如果投标文件由委托代理人签署，则投标人须提交授权委托书，授权委托书应按第九章“投标文件格式”的要求出具，并由法定代表人和委托代理人亲笔签名，不得使用印章、签名章或其他电子制版签名代替。</w:t>
      </w:r>
    </w:p>
    <w:p w14:paraId="0E4D2BF3">
      <w:pPr>
        <w:spacing w:line="360" w:lineRule="auto"/>
        <w:ind w:firstLine="420" w:firstLineChars="200"/>
        <w:rPr>
          <w:rFonts w:ascii="宋体" w:hAnsi="宋体" w:cs="宋体"/>
        </w:rPr>
      </w:pPr>
      <w:r>
        <w:rPr>
          <w:rFonts w:hint="eastAsia" w:ascii="宋体" w:hAnsi="宋体" w:cs="宋体"/>
        </w:rPr>
        <w:t>如果由投标人的法定代表人亲自签署投标文件，则投标人须提交法定代表人身份证明，身份证明应符合第九章“投标文件格式”的要求。</w:t>
      </w:r>
    </w:p>
    <w:p w14:paraId="67B6B032">
      <w:pPr>
        <w:spacing w:line="360" w:lineRule="auto"/>
        <w:ind w:firstLine="420" w:firstLineChars="200"/>
        <w:rPr>
          <w:rFonts w:ascii="宋体" w:hAnsi="宋体" w:cs="宋体"/>
        </w:rPr>
      </w:pPr>
      <w:r>
        <w:rPr>
          <w:rFonts w:hint="eastAsia" w:ascii="宋体" w:hAnsi="宋体" w:cs="宋体"/>
        </w:rPr>
        <w:t>以联合体形式参与投标的，投标文件由联合体牵头人的法定代表人或其委托代理人按上述规定签署并加盖联合体牵头人单位章。法定代表人授权委托书或法定代表人身份证明须由联合体牵头人按上述规定出具。</w:t>
      </w:r>
    </w:p>
    <w:p w14:paraId="65EE8BFF">
      <w:pPr>
        <w:spacing w:line="360" w:lineRule="auto"/>
        <w:ind w:firstLine="420" w:firstLineChars="200"/>
        <w:rPr>
          <w:rFonts w:ascii="宋体" w:hAnsi="宋体" w:cs="宋体"/>
        </w:rPr>
      </w:pPr>
      <w:r>
        <w:rPr>
          <w:rFonts w:hint="eastAsia" w:ascii="宋体" w:hAnsi="宋体" w:cs="宋体"/>
        </w:rPr>
        <w:t>投标文件应尽量避免涂改、行间插字或删除。如果出现上述情况，改动之处应由投标人的法定代表人或其授权的代理人签字或盖单位章。</w:t>
      </w:r>
    </w:p>
    <w:p w14:paraId="71CB9F88">
      <w:pPr>
        <w:spacing w:line="360" w:lineRule="auto"/>
        <w:ind w:firstLine="420" w:firstLineChars="200"/>
        <w:rPr>
          <w:rFonts w:ascii="宋体" w:hAnsi="宋体" w:cs="宋体"/>
        </w:rPr>
      </w:pPr>
      <w:r>
        <w:rPr>
          <w:rFonts w:hint="eastAsia" w:ascii="宋体" w:hAnsi="宋体" w:cs="宋体"/>
        </w:rPr>
        <w:t>3.7.4 投标文件正本一份， 副本份数见投标人须知前附表。正本和副本的封面右上角上应清楚地标记“正本”或“副本”字样。投标人应根据投标人须知前附表要求提供电子版文件。当副本和正本不一致或电子版文件和纸质正本文件不一致时，以纸质正本文件为准。</w:t>
      </w:r>
    </w:p>
    <w:p w14:paraId="366F1AA1">
      <w:pPr>
        <w:pStyle w:val="18"/>
        <w:topLinePunct/>
        <w:spacing w:line="360" w:lineRule="auto"/>
        <w:ind w:firstLine="420" w:firstLineChars="200"/>
        <w:rPr>
          <w:rFonts w:hAnsi="宋体"/>
          <w:sz w:val="21"/>
          <w:szCs w:val="21"/>
        </w:rPr>
      </w:pPr>
      <w:r>
        <w:rPr>
          <w:rFonts w:hint="eastAsia" w:hAnsi="宋体"/>
          <w:sz w:val="21"/>
          <w:szCs w:val="21"/>
        </w:rPr>
        <w:t>3.7.5 投标文件的正本与副本应分别装订成册（A4纸幅），编制目录并逐页标注连续页码。投标文件不得采用活页夹装订，否则，招标人对由于投标文件装订松散而造成的丢失或其他后果不承担任何责任。装订的其他要求见投标人须知前附表。</w:t>
      </w:r>
    </w:p>
    <w:p w14:paraId="04C7EA7E">
      <w:pPr>
        <w:pStyle w:val="2"/>
        <w:spacing w:before="0" w:after="0" w:line="360" w:lineRule="auto"/>
        <w:ind w:firstLine="420" w:firstLineChars="200"/>
        <w:rPr>
          <w:rFonts w:ascii="宋体" w:hAnsi="宋体" w:cs="宋体"/>
          <w:b w:val="0"/>
          <w:sz w:val="21"/>
          <w:szCs w:val="21"/>
        </w:rPr>
      </w:pPr>
      <w:bookmarkStart w:id="153" w:name="_Toc517787531"/>
      <w:bookmarkStart w:id="154" w:name="_Toc234832897"/>
      <w:r>
        <w:rPr>
          <w:rFonts w:hint="eastAsia" w:ascii="宋体" w:hAnsi="宋体" w:cs="宋体"/>
          <w:b w:val="0"/>
          <w:sz w:val="21"/>
          <w:szCs w:val="21"/>
        </w:rPr>
        <w:t>4. 投标</w:t>
      </w:r>
      <w:bookmarkEnd w:id="153"/>
      <w:bookmarkEnd w:id="154"/>
      <w:r>
        <w:rPr>
          <w:rFonts w:hint="eastAsia" w:ascii="宋体" w:hAnsi="宋体" w:cs="宋体"/>
          <w:b w:val="0"/>
          <w:sz w:val="21"/>
          <w:szCs w:val="21"/>
        </w:rPr>
        <w:tab/>
      </w:r>
    </w:p>
    <w:p w14:paraId="78F8374D">
      <w:pPr>
        <w:pStyle w:val="2"/>
        <w:spacing w:before="0" w:after="0" w:line="360" w:lineRule="auto"/>
        <w:ind w:firstLine="420" w:firstLineChars="200"/>
        <w:rPr>
          <w:rFonts w:ascii="宋体" w:hAnsi="宋体" w:cs="宋体"/>
          <w:b w:val="0"/>
          <w:sz w:val="21"/>
          <w:szCs w:val="21"/>
        </w:rPr>
      </w:pPr>
      <w:bookmarkStart w:id="155" w:name="_Toc234832898"/>
      <w:bookmarkStart w:id="156" w:name="_Toc517787532"/>
      <w:r>
        <w:rPr>
          <w:rFonts w:hint="eastAsia" w:ascii="宋体" w:hAnsi="宋体" w:cs="宋体"/>
          <w:b w:val="0"/>
          <w:sz w:val="21"/>
          <w:szCs w:val="21"/>
        </w:rPr>
        <w:t>4.1 投标文件的密封和标识</w:t>
      </w:r>
      <w:bookmarkEnd w:id="155"/>
      <w:bookmarkEnd w:id="156"/>
    </w:p>
    <w:p w14:paraId="72287287">
      <w:pPr>
        <w:pStyle w:val="18"/>
        <w:topLinePunct/>
        <w:spacing w:line="360" w:lineRule="auto"/>
        <w:ind w:firstLine="420" w:firstLineChars="200"/>
        <w:rPr>
          <w:rFonts w:hAnsi="宋体"/>
          <w:sz w:val="21"/>
          <w:szCs w:val="21"/>
        </w:rPr>
      </w:pPr>
      <w:r>
        <w:rPr>
          <w:rFonts w:hint="eastAsia" w:hAnsi="宋体"/>
          <w:sz w:val="21"/>
          <w:szCs w:val="21"/>
        </w:rPr>
        <w:t xml:space="preserve">4.1.1 投标文件应采用双信封形式密封。投标文件第一个信封（商务文件）以及第二个信封（报价文件）应单独密封包装。商务文件的正本与副本应统一密封在一个封套中。报价文件的正本与副本应统一密封在另一个封套中。封套应加贴封条，封条上加盖投标人单位章。 </w:t>
      </w:r>
    </w:p>
    <w:p w14:paraId="54536A06">
      <w:pPr>
        <w:pStyle w:val="18"/>
        <w:topLinePunct/>
        <w:spacing w:line="360" w:lineRule="auto"/>
        <w:ind w:firstLine="420" w:firstLineChars="200"/>
        <w:rPr>
          <w:rFonts w:hAnsi="宋体"/>
          <w:sz w:val="21"/>
          <w:szCs w:val="21"/>
        </w:rPr>
      </w:pPr>
      <w:r>
        <w:rPr>
          <w:rFonts w:hint="eastAsia" w:hAnsi="宋体"/>
          <w:sz w:val="21"/>
          <w:szCs w:val="21"/>
        </w:rPr>
        <w:t>采用银行保函形式提交投标保证金的，银行保函原件不要求密封。</w:t>
      </w:r>
    </w:p>
    <w:p w14:paraId="3E474C4C">
      <w:pPr>
        <w:pStyle w:val="18"/>
        <w:topLinePunct/>
        <w:spacing w:line="360" w:lineRule="auto"/>
        <w:ind w:firstLine="420" w:firstLineChars="200"/>
        <w:rPr>
          <w:rFonts w:hAnsi="宋体"/>
          <w:sz w:val="21"/>
          <w:szCs w:val="21"/>
        </w:rPr>
      </w:pPr>
      <w:r>
        <w:rPr>
          <w:rFonts w:hint="eastAsia" w:hAnsi="宋体"/>
          <w:sz w:val="21"/>
          <w:szCs w:val="21"/>
        </w:rPr>
        <w:t>4.1.2 投标文件第一个信封（商务文件）、第二个信封（报价文件）封套上应写明的内容见投标人须知前附表。</w:t>
      </w:r>
    </w:p>
    <w:p w14:paraId="3766E29A">
      <w:pPr>
        <w:spacing w:line="360" w:lineRule="auto"/>
        <w:ind w:firstLine="420" w:firstLineChars="200"/>
        <w:rPr>
          <w:rFonts w:ascii="宋体" w:hAnsi="宋体" w:cs="宋体"/>
        </w:rPr>
      </w:pPr>
      <w:r>
        <w:rPr>
          <w:rFonts w:hint="eastAsia" w:ascii="宋体" w:hAnsi="宋体" w:cs="宋体"/>
        </w:rPr>
        <w:t>4.1.3 未按本章第4.1.1项要求密封的投标文件，招标人将予以拒收。</w:t>
      </w:r>
    </w:p>
    <w:p w14:paraId="014A1F73">
      <w:pPr>
        <w:pStyle w:val="2"/>
        <w:spacing w:before="0" w:after="0" w:line="360" w:lineRule="auto"/>
        <w:ind w:firstLine="420" w:firstLineChars="200"/>
        <w:rPr>
          <w:rFonts w:ascii="宋体" w:hAnsi="宋体" w:cs="宋体"/>
          <w:b w:val="0"/>
          <w:sz w:val="21"/>
          <w:szCs w:val="21"/>
        </w:rPr>
      </w:pPr>
      <w:bookmarkStart w:id="157" w:name="_Toc517787533"/>
      <w:bookmarkStart w:id="158" w:name="_Toc234832899"/>
      <w:r>
        <w:rPr>
          <w:rFonts w:hint="eastAsia" w:ascii="宋体" w:hAnsi="宋体" w:cs="宋体"/>
          <w:b w:val="0"/>
          <w:sz w:val="21"/>
          <w:szCs w:val="21"/>
        </w:rPr>
        <w:t>4.2</w:t>
      </w:r>
      <w:r>
        <w:rPr>
          <w:rFonts w:hint="eastAsia" w:ascii="宋体" w:hAnsi="宋体" w:cs="宋体"/>
          <w:b w:val="0"/>
          <w:sz w:val="21"/>
          <w:szCs w:val="21"/>
        </w:rPr>
        <w:tab/>
      </w:r>
      <w:r>
        <w:rPr>
          <w:rFonts w:hint="eastAsia" w:ascii="宋体" w:hAnsi="宋体" w:cs="宋体"/>
          <w:b w:val="0"/>
          <w:sz w:val="21"/>
          <w:szCs w:val="21"/>
        </w:rPr>
        <w:t xml:space="preserve"> 投标文件的递交</w:t>
      </w:r>
      <w:bookmarkEnd w:id="157"/>
      <w:bookmarkEnd w:id="158"/>
    </w:p>
    <w:p w14:paraId="7AAB1584">
      <w:pPr>
        <w:pStyle w:val="18"/>
        <w:topLinePunct/>
        <w:spacing w:line="360" w:lineRule="auto"/>
        <w:ind w:firstLine="420" w:firstLineChars="200"/>
        <w:rPr>
          <w:rFonts w:hAnsi="宋体"/>
          <w:sz w:val="21"/>
          <w:szCs w:val="21"/>
        </w:rPr>
      </w:pPr>
      <w:r>
        <w:rPr>
          <w:rFonts w:hint="eastAsia" w:hAnsi="宋体"/>
          <w:sz w:val="21"/>
          <w:szCs w:val="21"/>
        </w:rPr>
        <w:t>4.2.1 投标人应在第一章“招标公告”或“投标邀请书”规定的投标截止时间前递交投标文件。</w:t>
      </w:r>
    </w:p>
    <w:p w14:paraId="3752033B">
      <w:pPr>
        <w:spacing w:line="360" w:lineRule="auto"/>
        <w:ind w:firstLine="420" w:firstLineChars="200"/>
        <w:rPr>
          <w:rFonts w:ascii="宋体" w:hAnsi="宋体" w:cs="宋体"/>
        </w:rPr>
      </w:pPr>
      <w:r>
        <w:rPr>
          <w:rFonts w:hint="eastAsia" w:ascii="宋体" w:hAnsi="宋体" w:cs="宋体"/>
        </w:rPr>
        <w:t>4.2.2 投标人递交投标文件的地点：见第一章“招标公告”或“投标邀请书”。</w:t>
      </w:r>
    </w:p>
    <w:p w14:paraId="168C4CF9">
      <w:pPr>
        <w:spacing w:line="360" w:lineRule="auto"/>
        <w:ind w:firstLine="420" w:firstLineChars="200"/>
        <w:rPr>
          <w:rFonts w:ascii="宋体" w:hAnsi="宋体" w:cs="宋体"/>
        </w:rPr>
      </w:pPr>
      <w:r>
        <w:rPr>
          <w:rFonts w:hint="eastAsia" w:ascii="宋体" w:hAnsi="宋体" w:cs="宋体"/>
        </w:rPr>
        <w:t>4.2.3 除投标人须知前附表另有规定外，投标人所递交的投标文件不予退还。投标人少于3个的，投标文件当场退还给投标人。</w:t>
      </w:r>
    </w:p>
    <w:p w14:paraId="09F6B314">
      <w:pPr>
        <w:spacing w:line="360" w:lineRule="auto"/>
        <w:ind w:firstLine="420" w:firstLineChars="200"/>
        <w:rPr>
          <w:rFonts w:ascii="宋体" w:hAnsi="宋体" w:cs="宋体"/>
        </w:rPr>
      </w:pPr>
      <w:r>
        <w:rPr>
          <w:rFonts w:hint="eastAsia" w:ascii="宋体" w:hAnsi="宋体" w:cs="宋体"/>
        </w:rPr>
        <w:t>4.2.4 招标人收到投标文件后，向投标人出具签收凭证。</w:t>
      </w:r>
    </w:p>
    <w:p w14:paraId="3D2437B2">
      <w:pPr>
        <w:spacing w:line="360" w:lineRule="auto"/>
        <w:ind w:firstLine="420" w:firstLineChars="200"/>
        <w:rPr>
          <w:rFonts w:ascii="宋体" w:hAnsi="宋体" w:cs="宋体"/>
        </w:rPr>
      </w:pPr>
      <w:r>
        <w:rPr>
          <w:rFonts w:hint="eastAsia" w:ascii="宋体" w:hAnsi="宋体" w:cs="宋体"/>
        </w:rPr>
        <w:t>4.2.5 逾期送达的或未送达指定地点的投标文件，招标人将予以拒收。</w:t>
      </w:r>
    </w:p>
    <w:p w14:paraId="1839C65B">
      <w:pPr>
        <w:pStyle w:val="2"/>
        <w:spacing w:before="0" w:after="0" w:line="360" w:lineRule="auto"/>
        <w:ind w:firstLine="420" w:firstLineChars="200"/>
        <w:rPr>
          <w:rFonts w:ascii="宋体" w:hAnsi="宋体" w:cs="宋体"/>
          <w:b w:val="0"/>
          <w:sz w:val="21"/>
          <w:szCs w:val="21"/>
        </w:rPr>
      </w:pPr>
      <w:bookmarkStart w:id="159" w:name="_Toc517787534"/>
      <w:bookmarkStart w:id="160" w:name="_Toc234832900"/>
      <w:r>
        <w:rPr>
          <w:rFonts w:hint="eastAsia" w:ascii="宋体" w:hAnsi="宋体" w:cs="宋体"/>
          <w:b w:val="0"/>
          <w:sz w:val="21"/>
          <w:szCs w:val="21"/>
        </w:rPr>
        <w:t>4.3 投标文件的修改与撤回</w:t>
      </w:r>
      <w:bookmarkEnd w:id="159"/>
      <w:bookmarkEnd w:id="160"/>
    </w:p>
    <w:p w14:paraId="4665EEC1">
      <w:pPr>
        <w:spacing w:line="360" w:lineRule="auto"/>
        <w:ind w:firstLine="420" w:firstLineChars="200"/>
        <w:rPr>
          <w:rFonts w:ascii="宋体" w:hAnsi="宋体" w:cs="宋体"/>
        </w:rPr>
      </w:pPr>
      <w:r>
        <w:rPr>
          <w:rFonts w:hint="eastAsia" w:ascii="宋体" w:hAnsi="宋体" w:cs="宋体"/>
        </w:rPr>
        <w:t>4.3.1 在本章第4.2.1项规定的投标截止时间前，投标人可以修改或撤回已递交的投标文件，但应以书面形式通知招标人。</w:t>
      </w:r>
    </w:p>
    <w:p w14:paraId="19172DEE">
      <w:pPr>
        <w:spacing w:line="360" w:lineRule="auto"/>
        <w:ind w:firstLine="420" w:firstLineChars="200"/>
        <w:rPr>
          <w:rFonts w:ascii="宋体" w:hAnsi="宋体" w:cs="宋体"/>
        </w:rPr>
      </w:pPr>
      <w:r>
        <w:rPr>
          <w:rFonts w:hint="eastAsia" w:ascii="宋体" w:hAnsi="宋体" w:cs="宋体"/>
        </w:rPr>
        <w:t>4.3.2 投标人修改或撤回已递交投标文件的书面通知应按照本章第3.7.3项的要求签字或盖章。招标人收到书面通知后，向投标人出具签收凭证。</w:t>
      </w:r>
    </w:p>
    <w:p w14:paraId="093F779A">
      <w:pPr>
        <w:spacing w:line="360" w:lineRule="auto"/>
        <w:ind w:firstLine="420" w:firstLineChars="200"/>
        <w:rPr>
          <w:rFonts w:ascii="宋体" w:hAnsi="宋体" w:cs="宋体"/>
        </w:rPr>
      </w:pPr>
      <w:r>
        <w:rPr>
          <w:rFonts w:hint="eastAsia" w:ascii="宋体" w:hAnsi="宋体" w:cs="宋体"/>
        </w:rPr>
        <w:t>4.3.3 投标人撤回投标文件的，招标人自收到投标人书面撤回通知之日起5日内退还已收取的投标保证金。</w:t>
      </w:r>
    </w:p>
    <w:p w14:paraId="799731A2">
      <w:pPr>
        <w:spacing w:line="360" w:lineRule="auto"/>
        <w:ind w:firstLine="420" w:firstLineChars="200"/>
        <w:rPr>
          <w:rFonts w:ascii="宋体" w:hAnsi="宋体" w:cs="宋体"/>
        </w:rPr>
      </w:pPr>
      <w:r>
        <w:rPr>
          <w:rFonts w:hint="eastAsia" w:ascii="宋体" w:hAnsi="宋体" w:cs="宋体"/>
        </w:rPr>
        <w:t>4.3.4 修改的内容为投标文件的组成部分。修改的投标文件应按照本章第3条、第4条的规定进行编制、密封、标记和递交，并标明“修改”字样。</w:t>
      </w:r>
    </w:p>
    <w:p w14:paraId="45941B2B">
      <w:pPr>
        <w:pStyle w:val="2"/>
        <w:spacing w:before="0" w:after="0" w:line="360" w:lineRule="auto"/>
        <w:ind w:firstLine="420" w:firstLineChars="200"/>
        <w:rPr>
          <w:rFonts w:ascii="宋体" w:hAnsi="宋体" w:cs="宋体"/>
          <w:b w:val="0"/>
          <w:sz w:val="21"/>
          <w:szCs w:val="21"/>
        </w:rPr>
      </w:pPr>
      <w:bookmarkStart w:id="161" w:name="_Toc517787535"/>
      <w:bookmarkStart w:id="162" w:name="_Toc234832901"/>
      <w:r>
        <w:rPr>
          <w:rFonts w:hint="eastAsia" w:ascii="宋体" w:hAnsi="宋体" w:cs="宋体"/>
          <w:b w:val="0"/>
          <w:sz w:val="21"/>
          <w:szCs w:val="21"/>
        </w:rPr>
        <w:t>5. 开标</w:t>
      </w:r>
      <w:bookmarkEnd w:id="161"/>
      <w:bookmarkEnd w:id="162"/>
    </w:p>
    <w:p w14:paraId="62C74748">
      <w:pPr>
        <w:pStyle w:val="2"/>
        <w:spacing w:before="0" w:after="0" w:line="360" w:lineRule="auto"/>
        <w:ind w:firstLine="420" w:firstLineChars="200"/>
        <w:rPr>
          <w:rFonts w:ascii="宋体" w:hAnsi="宋体" w:cs="宋体"/>
          <w:b w:val="0"/>
          <w:sz w:val="21"/>
          <w:szCs w:val="21"/>
        </w:rPr>
      </w:pPr>
      <w:bookmarkStart w:id="163" w:name="_Toc517787536"/>
      <w:bookmarkStart w:id="164" w:name="_Toc234832902"/>
      <w:r>
        <w:rPr>
          <w:rFonts w:hint="eastAsia" w:ascii="宋体" w:hAnsi="宋体" w:cs="宋体"/>
          <w:b w:val="0"/>
          <w:sz w:val="21"/>
          <w:szCs w:val="21"/>
        </w:rPr>
        <w:t>5.1 开标时间和地点</w:t>
      </w:r>
      <w:bookmarkEnd w:id="163"/>
    </w:p>
    <w:p w14:paraId="4AA61C98">
      <w:pPr>
        <w:spacing w:line="360" w:lineRule="auto"/>
        <w:ind w:firstLine="420" w:firstLineChars="200"/>
        <w:rPr>
          <w:rFonts w:ascii="宋体" w:hAnsi="宋体" w:cs="宋体"/>
        </w:rPr>
      </w:pPr>
      <w:r>
        <w:rPr>
          <w:rFonts w:hint="eastAsia" w:ascii="宋体" w:hAnsi="宋体" w:cs="宋体"/>
        </w:rPr>
        <w:t>招标人在本章第4.2.1项规定的投标截止时间（开标时间）和投标人须知前附表规定的地点对收到的投标文件第一个信封（商务文件）公开开标，并邀请所有投标人的法定代表人或其委托代理人准时参加。</w:t>
      </w:r>
    </w:p>
    <w:p w14:paraId="0DD6A378">
      <w:pPr>
        <w:spacing w:line="360" w:lineRule="auto"/>
        <w:ind w:firstLine="420" w:firstLineChars="200"/>
        <w:rPr>
          <w:rFonts w:ascii="宋体" w:hAnsi="宋体" w:cs="宋体"/>
          <w:u w:val="single"/>
        </w:rPr>
      </w:pPr>
      <w:r>
        <w:rPr>
          <w:rFonts w:hint="eastAsia" w:ascii="宋体" w:hAnsi="宋体" w:cs="宋体"/>
        </w:rPr>
        <w:t>招标人在投标人须知前附表规定的时间和地点对投标文件第二个信封（报价文件）公开开标，并邀请所有投标人的法定代表人或其委托代理人准时参加。</w:t>
      </w:r>
    </w:p>
    <w:p w14:paraId="4A16A613">
      <w:pPr>
        <w:spacing w:line="360" w:lineRule="auto"/>
        <w:ind w:firstLine="420" w:firstLineChars="200"/>
        <w:rPr>
          <w:rFonts w:ascii="宋体" w:hAnsi="宋体" w:cs="宋体"/>
        </w:rPr>
      </w:pPr>
      <w:r>
        <w:rPr>
          <w:rFonts w:hint="eastAsia" w:ascii="宋体" w:hAnsi="宋体" w:cs="宋体"/>
        </w:rPr>
        <w:t>投标人若未派法定代表人或委托代理人出席开标活动，视为该投标人默认开标结果。</w:t>
      </w:r>
    </w:p>
    <w:bookmarkEnd w:id="164"/>
    <w:p w14:paraId="74598D91">
      <w:pPr>
        <w:pStyle w:val="2"/>
        <w:spacing w:before="0" w:after="0" w:line="360" w:lineRule="auto"/>
        <w:ind w:firstLine="420" w:firstLineChars="200"/>
        <w:rPr>
          <w:rFonts w:ascii="宋体" w:hAnsi="宋体" w:cs="宋体"/>
          <w:b w:val="0"/>
          <w:sz w:val="21"/>
          <w:szCs w:val="21"/>
        </w:rPr>
      </w:pPr>
      <w:bookmarkStart w:id="165" w:name="_Toc517787537"/>
      <w:bookmarkStart w:id="166" w:name="_Toc234832905"/>
      <w:r>
        <w:rPr>
          <w:rFonts w:hint="eastAsia" w:ascii="宋体" w:hAnsi="宋体" w:cs="宋体"/>
          <w:b w:val="0"/>
          <w:sz w:val="21"/>
          <w:szCs w:val="21"/>
        </w:rPr>
        <w:t>5.2</w:t>
      </w:r>
      <w:r>
        <w:rPr>
          <w:rFonts w:hint="eastAsia" w:ascii="宋体" w:hAnsi="宋体" w:cs="宋体"/>
          <w:b w:val="0"/>
          <w:sz w:val="21"/>
          <w:szCs w:val="21"/>
        </w:rPr>
        <w:tab/>
      </w:r>
      <w:r>
        <w:rPr>
          <w:rFonts w:hint="eastAsia" w:ascii="宋体" w:hAnsi="宋体" w:cs="宋体"/>
          <w:b w:val="0"/>
          <w:sz w:val="21"/>
          <w:szCs w:val="21"/>
        </w:rPr>
        <w:t>开标程序</w:t>
      </w:r>
      <w:bookmarkEnd w:id="165"/>
      <w:bookmarkEnd w:id="166"/>
    </w:p>
    <w:p w14:paraId="71C5E45E">
      <w:pPr>
        <w:spacing w:line="360" w:lineRule="auto"/>
        <w:ind w:firstLine="420" w:firstLineChars="200"/>
        <w:rPr>
          <w:rFonts w:ascii="宋体" w:hAnsi="宋体" w:cs="宋体"/>
        </w:rPr>
      </w:pPr>
      <w:r>
        <w:rPr>
          <w:rFonts w:hint="eastAsia" w:ascii="宋体" w:hAnsi="宋体" w:cs="宋体"/>
        </w:rPr>
        <w:t>5.2.1 主持人按下列程序对投标文件第一个信封（商务文件）进行开标：</w:t>
      </w:r>
    </w:p>
    <w:p w14:paraId="56745767">
      <w:pPr>
        <w:spacing w:line="360" w:lineRule="auto"/>
        <w:ind w:firstLine="420" w:firstLineChars="200"/>
        <w:rPr>
          <w:rFonts w:ascii="宋体" w:hAnsi="宋体" w:cs="宋体"/>
        </w:rPr>
      </w:pPr>
      <w:r>
        <w:rPr>
          <w:rFonts w:hint="eastAsia" w:ascii="宋体" w:hAnsi="宋体" w:cs="宋体"/>
        </w:rPr>
        <w:t>（1）宣布开标纪律；</w:t>
      </w:r>
    </w:p>
    <w:p w14:paraId="71A000E3">
      <w:pPr>
        <w:spacing w:line="360" w:lineRule="auto"/>
        <w:ind w:firstLine="420" w:firstLineChars="200"/>
        <w:rPr>
          <w:rFonts w:ascii="宋体" w:hAnsi="宋体" w:cs="宋体"/>
        </w:rPr>
      </w:pPr>
      <w:r>
        <w:rPr>
          <w:rFonts w:hint="eastAsia" w:ascii="宋体" w:hAnsi="宋体" w:cs="宋体"/>
        </w:rPr>
        <w:t>（2）公布在投标截止时间前递交投标文件的投标人数量；</w:t>
      </w:r>
    </w:p>
    <w:p w14:paraId="4F45721F">
      <w:pPr>
        <w:spacing w:line="360" w:lineRule="auto"/>
        <w:ind w:firstLine="420" w:firstLineChars="200"/>
        <w:rPr>
          <w:rFonts w:ascii="宋体" w:hAnsi="宋体" w:cs="宋体"/>
        </w:rPr>
      </w:pPr>
      <w:r>
        <w:rPr>
          <w:rFonts w:hint="eastAsia" w:ascii="宋体" w:hAnsi="宋体" w:cs="宋体"/>
        </w:rPr>
        <w:t>（3）宣布开标人、唱标人、记录人等有关人员姓名；</w:t>
      </w:r>
    </w:p>
    <w:p w14:paraId="7071A2CB">
      <w:pPr>
        <w:spacing w:line="360" w:lineRule="auto"/>
        <w:ind w:firstLine="420" w:firstLineChars="200"/>
        <w:rPr>
          <w:rFonts w:ascii="宋体" w:hAnsi="宋体" w:cs="宋体"/>
        </w:rPr>
      </w:pPr>
      <w:r>
        <w:rPr>
          <w:rFonts w:hint="eastAsia" w:ascii="宋体" w:hAnsi="宋体" w:cs="宋体"/>
        </w:rPr>
        <w:t>（4）由投标人推选的代表或公证机构（如果有）代表检查第一个信封和第二个信封投标文件的密封情况，仅检查两个信封投标文件是否存在提前开启情况；</w:t>
      </w:r>
    </w:p>
    <w:p w14:paraId="4C442C1D">
      <w:pPr>
        <w:spacing w:line="360" w:lineRule="auto"/>
        <w:ind w:firstLine="420" w:firstLineChars="200"/>
        <w:rPr>
          <w:rFonts w:ascii="宋体" w:hAnsi="宋体" w:cs="宋体"/>
        </w:rPr>
      </w:pPr>
      <w:r>
        <w:rPr>
          <w:rFonts w:hint="eastAsia" w:ascii="宋体" w:hAnsi="宋体" w:cs="宋体"/>
        </w:rPr>
        <w:t>（5）按照随机顺序当众开标，公布标段名称、投标人名称、投标保证金的递交情况、工期及其他内容，并记录在案；</w:t>
      </w:r>
    </w:p>
    <w:p w14:paraId="07BA2B83">
      <w:pPr>
        <w:spacing w:line="360" w:lineRule="auto"/>
        <w:ind w:firstLine="420" w:firstLineChars="200"/>
        <w:rPr>
          <w:rFonts w:ascii="宋体" w:hAnsi="宋体" w:cs="宋体"/>
        </w:rPr>
      </w:pPr>
      <w:r>
        <w:rPr>
          <w:rFonts w:hint="eastAsia" w:ascii="宋体" w:hAnsi="宋体" w:cs="宋体"/>
        </w:rPr>
        <w:t>（6）由投标人、招标人、招标代理机构或公证机构代表（如果有）抽取参与计算平均值的评标基准价系数（如果有）；</w:t>
      </w:r>
    </w:p>
    <w:p w14:paraId="7637EF7F">
      <w:pPr>
        <w:spacing w:line="360" w:lineRule="auto"/>
        <w:ind w:firstLine="420" w:firstLineChars="200"/>
        <w:rPr>
          <w:rFonts w:ascii="宋体" w:hAnsi="宋体" w:cs="宋体"/>
        </w:rPr>
      </w:pPr>
      <w:r>
        <w:rPr>
          <w:rFonts w:hint="eastAsia" w:ascii="宋体" w:hAnsi="宋体" w:cs="宋体"/>
        </w:rPr>
        <w:t>（7）投标人代表、招标人代表、记录人等有关人员在开标记录上签字确认；</w:t>
      </w:r>
    </w:p>
    <w:p w14:paraId="559ABBDB">
      <w:pPr>
        <w:spacing w:line="360" w:lineRule="auto"/>
        <w:ind w:firstLine="420" w:firstLineChars="200"/>
        <w:rPr>
          <w:rFonts w:ascii="宋体" w:hAnsi="宋体" w:cs="宋体"/>
        </w:rPr>
      </w:pPr>
      <w:r>
        <w:rPr>
          <w:rFonts w:hint="eastAsia" w:ascii="宋体" w:hAnsi="宋体" w:cs="宋体"/>
        </w:rPr>
        <w:t>（8）开标结束。</w:t>
      </w:r>
    </w:p>
    <w:p w14:paraId="55778288">
      <w:pPr>
        <w:spacing w:line="360" w:lineRule="auto"/>
        <w:ind w:firstLine="420" w:firstLineChars="200"/>
        <w:rPr>
          <w:rFonts w:ascii="宋体" w:hAnsi="宋体" w:cs="宋体"/>
        </w:rPr>
      </w:pPr>
      <w:r>
        <w:rPr>
          <w:rFonts w:hint="eastAsia" w:ascii="宋体" w:hAnsi="宋体" w:cs="宋体"/>
        </w:rPr>
        <w:t>5.2.2 在投标文件第一个信封（商务文件）开标现场，投标文件第二个信封（报价文件）不予开封，由招标人密封保存。</w:t>
      </w:r>
    </w:p>
    <w:p w14:paraId="6C650B07">
      <w:pPr>
        <w:spacing w:line="360" w:lineRule="auto"/>
        <w:ind w:firstLine="420" w:firstLineChars="200"/>
        <w:rPr>
          <w:rFonts w:ascii="宋体" w:hAnsi="宋体" w:cs="宋体"/>
        </w:rPr>
      </w:pPr>
      <w:r>
        <w:rPr>
          <w:rFonts w:hint="eastAsia" w:ascii="宋体" w:hAnsi="宋体" w:cs="宋体"/>
        </w:rPr>
        <w:t>5.2.3 招标人将按照本章第5.1款规定的时间和地点对投标文件第二个信封（报价文件）进行开标。主持人按下列程序进行开标：</w:t>
      </w:r>
    </w:p>
    <w:p w14:paraId="265391D7">
      <w:pPr>
        <w:spacing w:line="360" w:lineRule="auto"/>
        <w:ind w:firstLine="420" w:firstLineChars="200"/>
        <w:rPr>
          <w:rFonts w:ascii="宋体" w:hAnsi="宋体" w:cs="宋体"/>
        </w:rPr>
      </w:pPr>
      <w:r>
        <w:rPr>
          <w:rFonts w:hint="eastAsia" w:ascii="宋体" w:hAnsi="宋体" w:cs="宋体"/>
        </w:rPr>
        <w:t>（1）宣布开标纪律；</w:t>
      </w:r>
    </w:p>
    <w:p w14:paraId="6348FB5D">
      <w:pPr>
        <w:spacing w:line="360" w:lineRule="auto"/>
        <w:ind w:firstLine="420" w:firstLineChars="200"/>
        <w:rPr>
          <w:rFonts w:ascii="宋体" w:hAnsi="宋体" w:cs="宋体"/>
        </w:rPr>
      </w:pPr>
      <w:r>
        <w:rPr>
          <w:rFonts w:hint="eastAsia" w:ascii="宋体" w:hAnsi="宋体" w:cs="宋体"/>
        </w:rPr>
        <w:t>（2）当众宣布通过投标文件第一个信封（商务文件）评审的投标人名单；</w:t>
      </w:r>
    </w:p>
    <w:p w14:paraId="62E6DEDA">
      <w:pPr>
        <w:spacing w:line="360" w:lineRule="auto"/>
        <w:ind w:firstLine="420" w:firstLineChars="200"/>
        <w:rPr>
          <w:rFonts w:ascii="宋体" w:hAnsi="宋体" w:cs="宋体"/>
        </w:rPr>
      </w:pPr>
      <w:r>
        <w:rPr>
          <w:rFonts w:hint="eastAsia" w:ascii="宋体" w:hAnsi="宋体" w:cs="宋体"/>
        </w:rPr>
        <w:t>（3）宣布开标人、唱标人、记录人等有关人员姓名；</w:t>
      </w:r>
    </w:p>
    <w:p w14:paraId="659C38DC">
      <w:pPr>
        <w:spacing w:line="360" w:lineRule="auto"/>
        <w:ind w:firstLine="420" w:firstLineChars="200"/>
        <w:rPr>
          <w:rFonts w:ascii="宋体" w:hAnsi="宋体" w:cs="宋体"/>
        </w:rPr>
      </w:pPr>
      <w:r>
        <w:rPr>
          <w:rFonts w:hint="eastAsia" w:ascii="宋体" w:hAnsi="宋体" w:cs="宋体"/>
        </w:rPr>
        <w:t>（4）由通过投标文件第一个信封（商务文件）评审的投标人推选的代表或公证机构（如果有）代表检查第二个信封（报价文件）的密封情况，仅检查报价文件是否存在提前开启情况；</w:t>
      </w:r>
    </w:p>
    <w:p w14:paraId="56B22175">
      <w:pPr>
        <w:spacing w:line="360" w:lineRule="auto"/>
        <w:ind w:firstLine="420" w:firstLineChars="200"/>
        <w:rPr>
          <w:rFonts w:ascii="宋体" w:hAnsi="宋体" w:cs="宋体"/>
        </w:rPr>
      </w:pPr>
      <w:r>
        <w:rPr>
          <w:rFonts w:hint="eastAsia" w:ascii="宋体" w:hAnsi="宋体" w:cs="宋体"/>
        </w:rPr>
        <w:t>（5）按照随机顺序当众开标，开标人拆封所有通过第一个信封（商务文件）评审的投标文件第二个信封（报价文件），公布标段名称、投标人名称、投标报价及其他内容，并记录在案；</w:t>
      </w:r>
    </w:p>
    <w:p w14:paraId="2E62F160">
      <w:pPr>
        <w:spacing w:line="360" w:lineRule="auto"/>
        <w:ind w:firstLine="420" w:firstLineChars="200"/>
        <w:rPr>
          <w:rFonts w:ascii="宋体" w:hAnsi="宋体" w:cs="宋体"/>
        </w:rPr>
      </w:pPr>
      <w:r>
        <w:rPr>
          <w:rFonts w:hint="eastAsia" w:ascii="宋体" w:hAnsi="宋体" w:cs="宋体"/>
        </w:rPr>
        <w:t>（6）计算并宣布评标基准价；</w:t>
      </w:r>
    </w:p>
    <w:p w14:paraId="7D944DB5">
      <w:pPr>
        <w:spacing w:line="360" w:lineRule="auto"/>
        <w:ind w:firstLine="420" w:firstLineChars="200"/>
        <w:rPr>
          <w:rFonts w:ascii="宋体" w:hAnsi="宋体" w:cs="宋体"/>
        </w:rPr>
      </w:pPr>
      <w:r>
        <w:rPr>
          <w:rFonts w:hint="eastAsia" w:ascii="宋体" w:hAnsi="宋体" w:cs="宋体"/>
        </w:rPr>
        <w:t>（7）投标人代表、招标人代表、记录人等有关人员在开标记录上签字确认；</w:t>
      </w:r>
    </w:p>
    <w:p w14:paraId="59216C1D">
      <w:pPr>
        <w:spacing w:line="360" w:lineRule="auto"/>
        <w:ind w:firstLine="420" w:firstLineChars="200"/>
        <w:rPr>
          <w:rFonts w:ascii="宋体" w:hAnsi="宋体" w:cs="宋体"/>
        </w:rPr>
      </w:pPr>
      <w:r>
        <w:rPr>
          <w:rFonts w:hint="eastAsia" w:ascii="宋体" w:hAnsi="宋体" w:cs="宋体"/>
        </w:rPr>
        <w:t>（8）将未通过投标文件第一个信封（商务文件）评审的投标文件第二个信封（报价文件）退还给投标人；</w:t>
      </w:r>
    </w:p>
    <w:p w14:paraId="0D47546F">
      <w:pPr>
        <w:spacing w:line="360" w:lineRule="auto"/>
        <w:ind w:firstLine="420" w:firstLineChars="200"/>
        <w:rPr>
          <w:rFonts w:ascii="宋体" w:hAnsi="宋体" w:cs="宋体"/>
        </w:rPr>
      </w:pPr>
      <w:r>
        <w:rPr>
          <w:rFonts w:hint="eastAsia" w:ascii="宋体" w:hAnsi="宋体" w:cs="宋体"/>
        </w:rPr>
        <w:t>（9）开标结束。</w:t>
      </w:r>
    </w:p>
    <w:p w14:paraId="684C3569">
      <w:pPr>
        <w:spacing w:line="360" w:lineRule="auto"/>
        <w:ind w:firstLine="420" w:firstLineChars="200"/>
        <w:rPr>
          <w:rFonts w:ascii="宋体" w:hAnsi="宋体" w:cs="宋体"/>
        </w:rPr>
      </w:pPr>
      <w:r>
        <w:rPr>
          <w:rFonts w:hint="eastAsia" w:ascii="宋体" w:hAnsi="宋体" w:cs="宋体"/>
        </w:rPr>
        <w:t>5.2.4 若采用合理低价法或综合评分法，在投标文件第二个信封（报价文件）开标现场，招标人将按第三章“评标办法”规定的原则计算并宣布评标基准价。若招标人发现投标文件出现以下任一情况，其投标报价将不再参加评标基准价的计算：</w:t>
      </w:r>
    </w:p>
    <w:p w14:paraId="0E2B964F">
      <w:pPr>
        <w:spacing w:line="360" w:lineRule="auto"/>
        <w:ind w:firstLine="420" w:firstLineChars="200"/>
        <w:rPr>
          <w:rFonts w:ascii="宋体" w:hAnsi="宋体" w:cs="宋体"/>
        </w:rPr>
      </w:pPr>
      <w:r>
        <w:rPr>
          <w:rFonts w:hint="eastAsia" w:ascii="宋体" w:hAnsi="宋体" w:cs="宋体"/>
        </w:rPr>
        <w:t>（1）未在投标函上填写投标总价；</w:t>
      </w:r>
    </w:p>
    <w:p w14:paraId="218213A2">
      <w:pPr>
        <w:spacing w:line="360" w:lineRule="auto"/>
        <w:ind w:firstLine="420" w:firstLineChars="200"/>
        <w:rPr>
          <w:rFonts w:ascii="宋体" w:hAnsi="宋体" w:cs="宋体"/>
        </w:rPr>
      </w:pPr>
      <w:r>
        <w:rPr>
          <w:rFonts w:hint="eastAsia" w:ascii="宋体" w:hAnsi="宋体" w:cs="宋体"/>
        </w:rPr>
        <w:t>（2）投标报价或调价函中的报价超出招标人公布的最高投标限价（如有）；</w:t>
      </w:r>
    </w:p>
    <w:p w14:paraId="54D29E43">
      <w:pPr>
        <w:spacing w:line="360" w:lineRule="auto"/>
        <w:ind w:firstLine="420" w:firstLineChars="200"/>
        <w:rPr>
          <w:rFonts w:ascii="宋体" w:hAnsi="宋体" w:cs="宋体"/>
        </w:rPr>
      </w:pPr>
      <w:r>
        <w:rPr>
          <w:rFonts w:hint="eastAsia" w:ascii="宋体" w:hAnsi="宋体" w:cs="宋体"/>
        </w:rPr>
        <w:t>（3）投标报价或调价函中报价的大写金额无法确定具体数值；</w:t>
      </w:r>
    </w:p>
    <w:p w14:paraId="5A02866C">
      <w:pPr>
        <w:spacing w:line="360" w:lineRule="auto"/>
        <w:ind w:firstLine="420" w:firstLineChars="200"/>
        <w:rPr>
          <w:rFonts w:ascii="宋体" w:hAnsi="宋体" w:cs="宋体"/>
        </w:rPr>
      </w:pPr>
      <w:r>
        <w:rPr>
          <w:rFonts w:hint="eastAsia" w:ascii="宋体" w:hAnsi="宋体" w:cs="宋体"/>
        </w:rPr>
        <w:t>（4）投标函上填写的项目名称及标段号与投标文件封套上标记的项目名称及标段号不一致。</w:t>
      </w:r>
    </w:p>
    <w:p w14:paraId="66A94098">
      <w:pPr>
        <w:spacing w:line="360" w:lineRule="auto"/>
        <w:ind w:firstLine="420" w:firstLineChars="200"/>
        <w:rPr>
          <w:rFonts w:ascii="宋体" w:hAnsi="宋体" w:cs="宋体"/>
        </w:rPr>
      </w:pPr>
      <w:r>
        <w:rPr>
          <w:rFonts w:hint="eastAsia" w:ascii="宋体" w:hAnsi="宋体" w:cs="宋体"/>
        </w:rPr>
        <w:t>如果投标人认为某一标段的评标基准价计算有误，有权在开标现场提出，经招标人当场核实确认之后，可重新宣布评标基准价。开标现场宣布的评标基准价除计算有误经评标委员会修正外，在整个评标期间保持不变，不随任何因素发生变化。</w:t>
      </w:r>
    </w:p>
    <w:p w14:paraId="2E0599D1">
      <w:pPr>
        <w:spacing w:line="360" w:lineRule="auto"/>
        <w:ind w:firstLine="420" w:firstLineChars="200"/>
        <w:rPr>
          <w:rFonts w:ascii="宋体" w:hAnsi="宋体" w:cs="宋体"/>
        </w:rPr>
      </w:pPr>
      <w:r>
        <w:rPr>
          <w:rFonts w:hint="eastAsia" w:ascii="宋体" w:hAnsi="宋体" w:cs="宋体"/>
        </w:rPr>
        <w:t>5.2.5 在投标文件第一个信封（商务文件）或第二个信封（报价文件）开标过程中，若招标人宣读的内容与投标文件不符，投标人有权在开标现场提出疑问，经招标人当场核查确认之后，可重新宣读其投标文件。若投标人现场未提出疑问，则认为投标人已确认招标人宣读的内容。</w:t>
      </w:r>
    </w:p>
    <w:p w14:paraId="6DCA9D04">
      <w:pPr>
        <w:pStyle w:val="2"/>
        <w:spacing w:before="0" w:after="0" w:line="360" w:lineRule="auto"/>
        <w:ind w:firstLine="420" w:firstLineChars="200"/>
        <w:rPr>
          <w:rFonts w:ascii="宋体" w:hAnsi="宋体" w:cs="宋体"/>
          <w:b w:val="0"/>
          <w:sz w:val="21"/>
          <w:szCs w:val="21"/>
        </w:rPr>
      </w:pPr>
      <w:bookmarkStart w:id="167" w:name="_Toc517787538"/>
      <w:r>
        <w:rPr>
          <w:rFonts w:hint="eastAsia" w:ascii="宋体" w:hAnsi="宋体" w:cs="宋体"/>
          <w:b w:val="0"/>
          <w:sz w:val="21"/>
          <w:szCs w:val="21"/>
        </w:rPr>
        <w:t>5.3</w:t>
      </w:r>
      <w:r>
        <w:rPr>
          <w:rFonts w:hint="eastAsia" w:ascii="宋体" w:hAnsi="宋体" w:cs="宋体"/>
          <w:b w:val="0"/>
          <w:sz w:val="21"/>
          <w:szCs w:val="21"/>
        </w:rPr>
        <w:tab/>
      </w:r>
      <w:r>
        <w:rPr>
          <w:rFonts w:hint="eastAsia" w:ascii="宋体" w:hAnsi="宋体" w:cs="宋体"/>
          <w:b w:val="0"/>
          <w:sz w:val="21"/>
          <w:szCs w:val="21"/>
        </w:rPr>
        <w:t xml:space="preserve"> 开标异议</w:t>
      </w:r>
      <w:bookmarkEnd w:id="167"/>
    </w:p>
    <w:p w14:paraId="49A20931">
      <w:pPr>
        <w:spacing w:line="360" w:lineRule="auto"/>
        <w:ind w:firstLine="420" w:firstLineChars="200"/>
        <w:rPr>
          <w:rFonts w:ascii="宋体" w:hAnsi="宋体" w:cs="宋体"/>
          <w:u w:val="single"/>
        </w:rPr>
      </w:pPr>
      <w:r>
        <w:rPr>
          <w:rFonts w:hint="eastAsia" w:ascii="宋体" w:hAnsi="宋体" w:cs="宋体"/>
        </w:rPr>
        <w:t>投标人对开标有异议的，应在开标现场提出，招标人当场作出答复，并制作记录，有异议的投标人代表、招标人代表、记录人等有关人员在记录上签字确认。</w:t>
      </w:r>
    </w:p>
    <w:p w14:paraId="60956094">
      <w:pPr>
        <w:pStyle w:val="2"/>
        <w:spacing w:before="0" w:after="0" w:line="360" w:lineRule="auto"/>
        <w:ind w:firstLine="420" w:firstLineChars="200"/>
        <w:rPr>
          <w:rFonts w:ascii="宋体" w:hAnsi="宋体" w:cs="宋体"/>
          <w:b w:val="0"/>
          <w:sz w:val="21"/>
          <w:szCs w:val="21"/>
        </w:rPr>
      </w:pPr>
      <w:bookmarkStart w:id="168" w:name="_Toc234832906"/>
      <w:bookmarkStart w:id="169" w:name="_Toc517787539"/>
      <w:r>
        <w:rPr>
          <w:rFonts w:hint="eastAsia" w:ascii="宋体" w:hAnsi="宋体" w:cs="宋体"/>
          <w:b w:val="0"/>
          <w:sz w:val="21"/>
          <w:szCs w:val="21"/>
        </w:rPr>
        <w:t>6. 评标</w:t>
      </w:r>
      <w:bookmarkEnd w:id="168"/>
      <w:bookmarkEnd w:id="169"/>
    </w:p>
    <w:p w14:paraId="742DE8AB">
      <w:pPr>
        <w:pStyle w:val="2"/>
        <w:spacing w:before="0" w:after="0" w:line="360" w:lineRule="auto"/>
        <w:ind w:firstLine="420" w:firstLineChars="200"/>
        <w:rPr>
          <w:rFonts w:ascii="宋体" w:hAnsi="宋体" w:cs="宋体"/>
          <w:b w:val="0"/>
          <w:sz w:val="21"/>
          <w:szCs w:val="21"/>
        </w:rPr>
      </w:pPr>
      <w:bookmarkStart w:id="170" w:name="_Toc234832907"/>
      <w:bookmarkStart w:id="171" w:name="_Toc517787540"/>
      <w:r>
        <w:rPr>
          <w:rFonts w:hint="eastAsia" w:ascii="宋体" w:hAnsi="宋体" w:cs="宋体"/>
          <w:b w:val="0"/>
          <w:sz w:val="21"/>
          <w:szCs w:val="21"/>
        </w:rPr>
        <w:t>6.1</w:t>
      </w:r>
      <w:r>
        <w:rPr>
          <w:rFonts w:hint="eastAsia" w:ascii="宋体" w:hAnsi="宋体" w:cs="宋体"/>
          <w:b w:val="0"/>
          <w:sz w:val="21"/>
          <w:szCs w:val="21"/>
        </w:rPr>
        <w:tab/>
      </w:r>
      <w:r>
        <w:rPr>
          <w:rFonts w:hint="eastAsia" w:ascii="宋体" w:hAnsi="宋体" w:cs="宋体"/>
          <w:b w:val="0"/>
          <w:sz w:val="21"/>
          <w:szCs w:val="21"/>
        </w:rPr>
        <w:t xml:space="preserve"> 评标委员会</w:t>
      </w:r>
      <w:bookmarkEnd w:id="170"/>
      <w:bookmarkEnd w:id="171"/>
    </w:p>
    <w:p w14:paraId="3FBAD511">
      <w:pPr>
        <w:spacing w:line="360" w:lineRule="auto"/>
        <w:ind w:firstLine="420" w:firstLineChars="200"/>
        <w:rPr>
          <w:rFonts w:ascii="宋体" w:hAnsi="宋体" w:cs="宋体"/>
        </w:rPr>
      </w:pPr>
      <w:r>
        <w:rPr>
          <w:rFonts w:hint="eastAsia" w:ascii="宋体" w:hAnsi="宋体" w:cs="宋体"/>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34B2F2EE">
      <w:pPr>
        <w:spacing w:line="360" w:lineRule="auto"/>
        <w:ind w:firstLine="420" w:firstLineChars="200"/>
        <w:rPr>
          <w:rFonts w:ascii="宋体" w:hAnsi="宋体" w:cs="宋体"/>
        </w:rPr>
      </w:pPr>
      <w:r>
        <w:rPr>
          <w:rFonts w:hint="eastAsia" w:ascii="宋体" w:hAnsi="宋体" w:cs="宋体"/>
        </w:rPr>
        <w:t>6.1.2 评标委员会成员有下列情形之一的，应主动提出回避：</w:t>
      </w:r>
    </w:p>
    <w:p w14:paraId="0485C056">
      <w:pPr>
        <w:spacing w:line="360" w:lineRule="auto"/>
        <w:ind w:firstLine="420" w:firstLineChars="200"/>
        <w:rPr>
          <w:rFonts w:ascii="宋体" w:hAnsi="宋体" w:cs="宋体"/>
        </w:rPr>
      </w:pPr>
      <w:r>
        <w:rPr>
          <w:rFonts w:hint="eastAsia" w:ascii="宋体" w:hAnsi="宋体" w:cs="宋体"/>
        </w:rPr>
        <w:t>（1）为负责招标项目监督管理的交通运输主管部门的工作人员；</w:t>
      </w:r>
    </w:p>
    <w:p w14:paraId="4115D3AA">
      <w:pPr>
        <w:spacing w:line="360" w:lineRule="auto"/>
        <w:ind w:firstLine="420" w:firstLineChars="200"/>
        <w:rPr>
          <w:rFonts w:ascii="宋体" w:hAnsi="宋体" w:cs="宋体"/>
        </w:rPr>
      </w:pPr>
      <w:r>
        <w:rPr>
          <w:rFonts w:hint="eastAsia" w:ascii="宋体" w:hAnsi="宋体" w:cs="宋体"/>
        </w:rPr>
        <w:t>（2）与投标人法定代表人或其委托代理人有近亲属关系；</w:t>
      </w:r>
    </w:p>
    <w:p w14:paraId="66A20C89">
      <w:pPr>
        <w:spacing w:line="360" w:lineRule="auto"/>
        <w:ind w:firstLine="420" w:firstLineChars="200"/>
        <w:rPr>
          <w:rFonts w:ascii="宋体" w:hAnsi="宋体" w:cs="宋体"/>
        </w:rPr>
      </w:pPr>
      <w:r>
        <w:rPr>
          <w:rFonts w:hint="eastAsia" w:ascii="宋体" w:hAnsi="宋体" w:cs="宋体"/>
        </w:rPr>
        <w:t>（3）为投标人的工作人员或退休人员；</w:t>
      </w:r>
    </w:p>
    <w:p w14:paraId="49A4A613">
      <w:pPr>
        <w:spacing w:line="360" w:lineRule="auto"/>
        <w:ind w:firstLine="420" w:firstLineChars="200"/>
        <w:rPr>
          <w:rFonts w:ascii="宋体" w:hAnsi="宋体" w:cs="宋体"/>
        </w:rPr>
      </w:pPr>
      <w:r>
        <w:rPr>
          <w:rFonts w:hint="eastAsia" w:ascii="宋体" w:hAnsi="宋体" w:cs="宋体"/>
        </w:rPr>
        <w:t>（4）与投标人有其他利害关系，可能影响评标活动公正性；</w:t>
      </w:r>
    </w:p>
    <w:p w14:paraId="54B7273E">
      <w:pPr>
        <w:spacing w:line="360" w:lineRule="auto"/>
        <w:ind w:firstLine="420" w:firstLineChars="200"/>
        <w:rPr>
          <w:rFonts w:ascii="宋体" w:hAnsi="宋体" w:cs="宋体"/>
        </w:rPr>
      </w:pPr>
      <w:r>
        <w:rPr>
          <w:rFonts w:hint="eastAsia" w:ascii="宋体" w:hAnsi="宋体" w:cs="宋体"/>
        </w:rPr>
        <w:t>（5）在与招标投标有关的活动中有过违法违规行为、曾受过行政处罚或刑事处罚。</w:t>
      </w:r>
    </w:p>
    <w:p w14:paraId="74F0CFB6">
      <w:pPr>
        <w:spacing w:line="360" w:lineRule="auto"/>
        <w:ind w:firstLine="420" w:firstLineChars="200"/>
        <w:rPr>
          <w:rFonts w:ascii="宋体" w:hAnsi="宋体" w:cs="宋体"/>
        </w:rPr>
      </w:pPr>
      <w:r>
        <w:rPr>
          <w:rFonts w:hint="eastAsia" w:ascii="宋体" w:hAnsi="宋体" w:cs="宋体"/>
        </w:rPr>
        <w:t>6.1.3 评标过程中，评标委员会成员有回避事由、擅离职守或因健康等原因不能继续评标的，招标人有权更换。被更换的评标委员会成员作出的评审结论无效，由更换后的评标委员会成员重新进行评审。</w:t>
      </w:r>
    </w:p>
    <w:p w14:paraId="22D0990B">
      <w:pPr>
        <w:pStyle w:val="2"/>
        <w:spacing w:before="0" w:after="0" w:line="360" w:lineRule="auto"/>
        <w:ind w:firstLine="420" w:firstLineChars="200"/>
        <w:rPr>
          <w:rFonts w:ascii="宋体" w:hAnsi="宋体" w:cs="宋体"/>
          <w:b w:val="0"/>
          <w:sz w:val="21"/>
          <w:szCs w:val="21"/>
        </w:rPr>
      </w:pPr>
      <w:bookmarkStart w:id="172" w:name="_Toc234832908"/>
      <w:bookmarkStart w:id="173" w:name="_Toc517787541"/>
      <w:r>
        <w:rPr>
          <w:rFonts w:hint="eastAsia" w:ascii="宋体" w:hAnsi="宋体" w:cs="宋体"/>
          <w:b w:val="0"/>
          <w:sz w:val="21"/>
          <w:szCs w:val="21"/>
        </w:rPr>
        <w:t>6.2 评标原则</w:t>
      </w:r>
      <w:bookmarkEnd w:id="172"/>
      <w:bookmarkEnd w:id="173"/>
    </w:p>
    <w:p w14:paraId="3491767F">
      <w:pPr>
        <w:spacing w:line="360" w:lineRule="auto"/>
        <w:ind w:firstLine="420" w:firstLineChars="200"/>
        <w:rPr>
          <w:rFonts w:ascii="宋体" w:hAnsi="宋体" w:cs="宋体"/>
        </w:rPr>
      </w:pPr>
      <w:r>
        <w:rPr>
          <w:rFonts w:hint="eastAsia" w:ascii="宋体" w:hAnsi="宋体" w:cs="宋体"/>
        </w:rPr>
        <w:t>评标活动遵循公平、公正、科学和择优的原则。</w:t>
      </w:r>
    </w:p>
    <w:p w14:paraId="1F38CFE8">
      <w:pPr>
        <w:pStyle w:val="2"/>
        <w:spacing w:before="0" w:after="0" w:line="360" w:lineRule="auto"/>
        <w:ind w:firstLine="420" w:firstLineChars="200"/>
        <w:rPr>
          <w:rFonts w:ascii="宋体" w:hAnsi="宋体" w:cs="宋体"/>
          <w:b w:val="0"/>
          <w:sz w:val="21"/>
          <w:szCs w:val="21"/>
        </w:rPr>
      </w:pPr>
      <w:bookmarkStart w:id="174" w:name="_Toc234832909"/>
      <w:bookmarkStart w:id="175" w:name="_Toc517787542"/>
      <w:r>
        <w:rPr>
          <w:rFonts w:hint="eastAsia" w:ascii="宋体" w:hAnsi="宋体" w:cs="宋体"/>
          <w:b w:val="0"/>
          <w:sz w:val="21"/>
          <w:szCs w:val="21"/>
        </w:rPr>
        <w:t>6.3 评标</w:t>
      </w:r>
      <w:bookmarkEnd w:id="174"/>
      <w:bookmarkEnd w:id="175"/>
    </w:p>
    <w:p w14:paraId="08C67C54">
      <w:pPr>
        <w:spacing w:line="360" w:lineRule="auto"/>
        <w:ind w:firstLine="420" w:firstLineChars="200"/>
        <w:rPr>
          <w:rFonts w:ascii="宋体" w:hAnsi="宋体" w:cs="宋体"/>
        </w:rPr>
      </w:pPr>
      <w:r>
        <w:rPr>
          <w:rFonts w:hint="eastAsia" w:ascii="宋体" w:hAnsi="宋体" w:cs="宋体"/>
        </w:rPr>
        <w:t>6.3.1 评标委员会按照第三章“评标办法”规定的方法、评审因素、标准和程序对投标文件进行评审。第三章“评标办法”没有规定的方法、评审因素和标准，不作为评标依据。</w:t>
      </w:r>
    </w:p>
    <w:p w14:paraId="5E73F576">
      <w:pPr>
        <w:spacing w:line="360" w:lineRule="auto"/>
        <w:ind w:firstLine="420" w:firstLineChars="200"/>
        <w:rPr>
          <w:rFonts w:ascii="宋体" w:hAnsi="宋体" w:cs="宋体"/>
        </w:rPr>
      </w:pPr>
      <w:r>
        <w:rPr>
          <w:rFonts w:hint="eastAsia" w:ascii="宋体" w:hAnsi="宋体" w:cs="宋体"/>
        </w:rPr>
        <w:t>6.3.2 评标完成后，评标委员会应向招标人提交书面评标报告和中标候选人名单。评标委员会推荐中标</w:t>
      </w:r>
      <w:bookmarkStart w:id="176" w:name="_Toc352691502"/>
      <w:bookmarkStart w:id="177" w:name="_Toc12259"/>
      <w:bookmarkStart w:id="178" w:name="_Toc369531546"/>
      <w:bookmarkStart w:id="179" w:name="_Toc247527583"/>
      <w:bookmarkStart w:id="180" w:name="_Toc361508615"/>
      <w:bookmarkStart w:id="181" w:name="_Toc384308240"/>
      <w:bookmarkStart w:id="182" w:name="_Toc152042334"/>
      <w:bookmarkStart w:id="183" w:name="_Toc300834979"/>
      <w:bookmarkStart w:id="184" w:name="_Toc247513982"/>
      <w:bookmarkStart w:id="185" w:name="_Toc152045558"/>
      <w:bookmarkStart w:id="186" w:name="_Toc144974526"/>
      <w:r>
        <w:rPr>
          <w:rFonts w:hint="eastAsia" w:ascii="宋体" w:hAnsi="宋体" w:cs="宋体"/>
        </w:rPr>
        <w:t>候选人的人数见投标人须知前附</w:t>
      </w:r>
      <w:bookmarkEnd w:id="176"/>
      <w:bookmarkEnd w:id="177"/>
      <w:bookmarkEnd w:id="178"/>
      <w:bookmarkEnd w:id="179"/>
      <w:bookmarkEnd w:id="180"/>
      <w:bookmarkEnd w:id="181"/>
      <w:bookmarkEnd w:id="182"/>
      <w:bookmarkEnd w:id="183"/>
      <w:bookmarkEnd w:id="184"/>
      <w:bookmarkEnd w:id="185"/>
      <w:bookmarkEnd w:id="186"/>
      <w:r>
        <w:rPr>
          <w:rFonts w:hint="eastAsia" w:ascii="宋体" w:hAnsi="宋体" w:cs="宋体"/>
        </w:rPr>
        <w:t>表。</w:t>
      </w:r>
    </w:p>
    <w:p w14:paraId="7F69556D">
      <w:pPr>
        <w:pStyle w:val="2"/>
        <w:spacing w:before="0" w:after="0" w:line="360" w:lineRule="auto"/>
        <w:ind w:firstLine="420" w:firstLineChars="200"/>
        <w:rPr>
          <w:rFonts w:ascii="宋体" w:hAnsi="宋体" w:cs="宋体"/>
          <w:b w:val="0"/>
          <w:sz w:val="21"/>
          <w:szCs w:val="21"/>
        </w:rPr>
      </w:pPr>
      <w:bookmarkStart w:id="187" w:name="_Toc517787543"/>
      <w:bookmarkStart w:id="188" w:name="_Toc234832910"/>
      <w:r>
        <w:rPr>
          <w:rFonts w:hint="eastAsia" w:ascii="宋体" w:hAnsi="宋体" w:cs="宋体"/>
          <w:b w:val="0"/>
          <w:sz w:val="21"/>
          <w:szCs w:val="21"/>
        </w:rPr>
        <w:t>7. 合同授予</w:t>
      </w:r>
      <w:bookmarkEnd w:id="187"/>
      <w:bookmarkEnd w:id="188"/>
    </w:p>
    <w:p w14:paraId="1A8EE3A9">
      <w:pPr>
        <w:pStyle w:val="2"/>
        <w:spacing w:before="0" w:after="0" w:line="360" w:lineRule="auto"/>
        <w:ind w:firstLine="420" w:firstLineChars="200"/>
        <w:rPr>
          <w:rFonts w:ascii="宋体" w:hAnsi="宋体" w:cs="宋体"/>
          <w:b w:val="0"/>
          <w:sz w:val="21"/>
          <w:szCs w:val="21"/>
        </w:rPr>
      </w:pPr>
      <w:bookmarkStart w:id="189" w:name="_Toc517787544"/>
      <w:bookmarkStart w:id="190" w:name="_Toc234832911"/>
      <w:r>
        <w:rPr>
          <w:rFonts w:hint="eastAsia" w:ascii="宋体" w:hAnsi="宋体" w:cs="宋体"/>
          <w:b w:val="0"/>
          <w:sz w:val="21"/>
          <w:szCs w:val="21"/>
        </w:rPr>
        <w:t>7.1 中标候选人公示</w:t>
      </w:r>
      <w:bookmarkEnd w:id="189"/>
    </w:p>
    <w:p w14:paraId="47132145">
      <w:pPr>
        <w:spacing w:line="360" w:lineRule="auto"/>
        <w:ind w:firstLine="420" w:firstLineChars="200"/>
        <w:rPr>
          <w:rFonts w:ascii="宋体" w:hAnsi="宋体" w:cs="宋体"/>
        </w:rPr>
      </w:pPr>
      <w:r>
        <w:rPr>
          <w:rFonts w:hint="eastAsia" w:ascii="宋体" w:hAnsi="宋体" w:cs="宋体"/>
        </w:rPr>
        <w:t>招标人在收到评标报告之日起3日内，按照投标人须知前附表规定的公示媒介和期限公示中标候选人，公示期不得少于3日，公示内容包括：</w:t>
      </w:r>
    </w:p>
    <w:p w14:paraId="51AC1F0D">
      <w:pPr>
        <w:spacing w:line="360" w:lineRule="auto"/>
        <w:ind w:firstLine="420" w:firstLineChars="200"/>
        <w:rPr>
          <w:rFonts w:ascii="宋体" w:hAnsi="宋体" w:cs="宋体"/>
        </w:rPr>
      </w:pPr>
      <w:r>
        <w:rPr>
          <w:rFonts w:hint="eastAsia" w:ascii="宋体" w:hAnsi="宋体" w:cs="宋体"/>
        </w:rPr>
        <w:t>（1）中标候选人排序、名称、投标报价，对工程质量要求、安全目标和工期的响应情况；</w:t>
      </w:r>
    </w:p>
    <w:p w14:paraId="44FBFAA3">
      <w:pPr>
        <w:spacing w:line="360" w:lineRule="auto"/>
        <w:ind w:firstLine="420" w:firstLineChars="200"/>
        <w:rPr>
          <w:rFonts w:ascii="宋体" w:hAnsi="宋体" w:cs="宋体"/>
        </w:rPr>
      </w:pPr>
      <w:r>
        <w:rPr>
          <w:rFonts w:hint="eastAsia" w:ascii="宋体" w:hAnsi="宋体" w:cs="宋体"/>
        </w:rPr>
        <w:t>（2）中标候选人在投标文件中承诺的项目经理和项目总工姓名、个人业绩、相关证书名称和编号；</w:t>
      </w:r>
    </w:p>
    <w:p w14:paraId="0F6E2FDE">
      <w:pPr>
        <w:spacing w:line="360" w:lineRule="auto"/>
        <w:ind w:firstLine="420" w:firstLineChars="200"/>
        <w:rPr>
          <w:rFonts w:ascii="宋体" w:hAnsi="宋体" w:cs="宋体"/>
        </w:rPr>
      </w:pPr>
      <w:r>
        <w:rPr>
          <w:rFonts w:hint="eastAsia" w:ascii="宋体" w:hAnsi="宋体" w:cs="宋体"/>
        </w:rPr>
        <w:t>（3）中标候选人在投标文件中填报的项目业绩；</w:t>
      </w:r>
    </w:p>
    <w:p w14:paraId="0DF074F2">
      <w:pPr>
        <w:spacing w:line="360" w:lineRule="auto"/>
        <w:ind w:firstLine="420" w:firstLineChars="200"/>
        <w:rPr>
          <w:rFonts w:ascii="宋体" w:hAnsi="宋体" w:cs="宋体"/>
        </w:rPr>
      </w:pPr>
      <w:r>
        <w:rPr>
          <w:rFonts w:hint="eastAsia" w:ascii="宋体" w:hAnsi="宋体" w:cs="宋体"/>
        </w:rPr>
        <w:t>（4）被否决投标的投标人名称、否决依据和原因；</w:t>
      </w:r>
    </w:p>
    <w:p w14:paraId="3A83C583">
      <w:pPr>
        <w:spacing w:line="360" w:lineRule="auto"/>
        <w:ind w:firstLine="420" w:firstLineChars="200"/>
        <w:rPr>
          <w:rFonts w:ascii="宋体" w:hAnsi="宋体" w:cs="宋体"/>
        </w:rPr>
      </w:pPr>
      <w:r>
        <w:rPr>
          <w:rFonts w:hint="eastAsia" w:ascii="宋体" w:hAnsi="宋体" w:cs="宋体"/>
        </w:rPr>
        <w:t>（5）提出异议的渠道和方式；</w:t>
      </w:r>
    </w:p>
    <w:p w14:paraId="02B27101">
      <w:pPr>
        <w:spacing w:line="360" w:lineRule="auto"/>
        <w:ind w:firstLine="420" w:firstLineChars="200"/>
        <w:rPr>
          <w:rFonts w:ascii="宋体" w:hAnsi="宋体" w:cs="宋体"/>
        </w:rPr>
      </w:pPr>
      <w:r>
        <w:rPr>
          <w:rFonts w:hint="eastAsia" w:ascii="宋体" w:hAnsi="宋体" w:cs="宋体"/>
        </w:rPr>
        <w:t>（6）评审技术标的评标委员会成员为各投标人技术标部分的评分情况（评标委员会成员的名单不公布）、各投标人的最终总得分及《江苏省国有资金投资工程建设项目招标投标管理办法》第二十七条规定应当公示的其他事项；</w:t>
      </w:r>
    </w:p>
    <w:p w14:paraId="2CB08138">
      <w:pPr>
        <w:spacing w:line="360" w:lineRule="auto"/>
        <w:ind w:firstLine="420" w:firstLineChars="200"/>
        <w:rPr>
          <w:rFonts w:ascii="宋体" w:hAnsi="宋体" w:cs="宋体"/>
        </w:rPr>
      </w:pPr>
      <w:r>
        <w:rPr>
          <w:rFonts w:hint="eastAsia" w:ascii="宋体" w:hAnsi="宋体" w:cs="宋体"/>
        </w:rPr>
        <w:t>（7）投标人须知前附表规定公示的其他内容。</w:t>
      </w:r>
    </w:p>
    <w:p w14:paraId="3DCBD3A3">
      <w:pPr>
        <w:pStyle w:val="2"/>
        <w:spacing w:before="0" w:after="0" w:line="360" w:lineRule="auto"/>
        <w:ind w:firstLine="420" w:firstLineChars="200"/>
        <w:rPr>
          <w:rFonts w:ascii="宋体" w:hAnsi="宋体" w:cs="宋体"/>
          <w:b w:val="0"/>
          <w:sz w:val="21"/>
          <w:szCs w:val="21"/>
        </w:rPr>
      </w:pPr>
      <w:bookmarkStart w:id="191" w:name="_Toc517787545"/>
      <w:r>
        <w:rPr>
          <w:rFonts w:hint="eastAsia" w:ascii="宋体" w:hAnsi="宋体" w:cs="宋体"/>
          <w:b w:val="0"/>
          <w:sz w:val="21"/>
          <w:szCs w:val="21"/>
        </w:rPr>
        <w:t>7.2 评标结果异议</w:t>
      </w:r>
      <w:bookmarkEnd w:id="191"/>
    </w:p>
    <w:p w14:paraId="1B13389E">
      <w:pPr>
        <w:spacing w:line="360" w:lineRule="auto"/>
        <w:ind w:firstLine="420" w:firstLineChars="200"/>
        <w:rPr>
          <w:rFonts w:ascii="宋体" w:hAnsi="宋体" w:cs="宋体"/>
        </w:rPr>
      </w:pPr>
      <w:r>
        <w:rPr>
          <w:rFonts w:hint="eastAsia" w:ascii="宋体" w:hAnsi="宋体" w:cs="宋体"/>
        </w:rPr>
        <w:t>投标人或其他利害关系人对依法必须进行招标的项目的评标结果有异议的，应在中标候选人公示期间提出。招标人将在收到异议之日起3日内作出答复；作出答复前，将暂停招标投标活动。</w:t>
      </w:r>
    </w:p>
    <w:p w14:paraId="22477E14">
      <w:pPr>
        <w:pStyle w:val="2"/>
        <w:spacing w:before="0" w:after="0" w:line="360" w:lineRule="auto"/>
        <w:ind w:firstLine="420" w:firstLineChars="200"/>
        <w:rPr>
          <w:rFonts w:ascii="宋体" w:hAnsi="宋体" w:cs="宋体"/>
          <w:b w:val="0"/>
          <w:sz w:val="21"/>
          <w:szCs w:val="21"/>
        </w:rPr>
      </w:pPr>
      <w:bookmarkStart w:id="192" w:name="_Toc517787546"/>
      <w:r>
        <w:rPr>
          <w:rFonts w:hint="eastAsia" w:ascii="宋体" w:hAnsi="宋体" w:cs="宋体"/>
          <w:b w:val="0"/>
          <w:sz w:val="21"/>
          <w:szCs w:val="21"/>
        </w:rPr>
        <w:t>7.3 中标候选人履约能力审查</w:t>
      </w:r>
      <w:bookmarkEnd w:id="192"/>
    </w:p>
    <w:p w14:paraId="509D619C">
      <w:pPr>
        <w:spacing w:line="360" w:lineRule="auto"/>
        <w:ind w:firstLine="420" w:firstLineChars="200"/>
        <w:rPr>
          <w:rFonts w:ascii="宋体" w:hAnsi="宋体" w:cs="宋体"/>
        </w:rPr>
      </w:pPr>
      <w:r>
        <w:rPr>
          <w:rFonts w:hint="eastAsia" w:ascii="宋体" w:hAnsi="宋体" w:cs="宋体"/>
        </w:rPr>
        <w:t>中标候选人的经营、财务状况发生较大变化或存在违法行为，招标人认为可能影响其履约能力的，将在发出中标通知书前提请原评标委员会按照招标文件规定的标准和方法进行审查确认。</w:t>
      </w:r>
    </w:p>
    <w:p w14:paraId="33DCF74F">
      <w:pPr>
        <w:spacing w:line="360" w:lineRule="auto"/>
        <w:ind w:firstLine="420" w:firstLineChars="200"/>
        <w:rPr>
          <w:rFonts w:ascii="宋体" w:hAnsi="宋体" w:cs="宋体"/>
        </w:rPr>
      </w:pPr>
      <w:r>
        <w:rPr>
          <w:rFonts w:hint="eastAsia" w:ascii="宋体" w:hAnsi="宋体" w:cs="宋体"/>
        </w:rPr>
        <w:t>对于第一中标候选人拟委任的项目经理或项目总工属于有在建工程、中标后可撤离的，即投标文件中提供了在建工程发包人按照招标文件规定格式与内容出具的《可撤离证明》，招标人在定标前应对该证明文件内容的真实性进行核实确认。若发现存在不实之处，应取消该中标候选人的中标资格，按该投标人弄虚作假处理。</w:t>
      </w:r>
    </w:p>
    <w:p w14:paraId="7667DFFF">
      <w:pPr>
        <w:pStyle w:val="2"/>
        <w:spacing w:before="0" w:after="0" w:line="360" w:lineRule="auto"/>
        <w:ind w:firstLine="420" w:firstLineChars="200"/>
        <w:rPr>
          <w:rFonts w:ascii="宋体" w:hAnsi="宋体" w:cs="宋体"/>
          <w:b w:val="0"/>
          <w:sz w:val="21"/>
          <w:szCs w:val="21"/>
        </w:rPr>
      </w:pPr>
      <w:bookmarkStart w:id="193" w:name="_Toc517787547"/>
      <w:r>
        <w:rPr>
          <w:rFonts w:hint="eastAsia" w:ascii="宋体" w:hAnsi="宋体" w:cs="宋体"/>
          <w:b w:val="0"/>
          <w:sz w:val="21"/>
          <w:szCs w:val="21"/>
        </w:rPr>
        <w:t>7.4 定标</w:t>
      </w:r>
      <w:bookmarkEnd w:id="190"/>
      <w:bookmarkEnd w:id="193"/>
    </w:p>
    <w:p w14:paraId="39D61770">
      <w:pPr>
        <w:spacing w:line="360" w:lineRule="auto"/>
        <w:ind w:firstLine="420" w:firstLineChars="200"/>
        <w:rPr>
          <w:rFonts w:ascii="宋体" w:hAnsi="宋体" w:cs="宋体"/>
        </w:rPr>
      </w:pPr>
      <w:r>
        <w:rPr>
          <w:rFonts w:hint="eastAsia" w:ascii="宋体" w:hAnsi="宋体" w:cs="宋体"/>
        </w:rPr>
        <w:t>按照投标人须知前附表的规定，招标人或招标人授权的评标委员会依法确定中标人。</w:t>
      </w:r>
    </w:p>
    <w:p w14:paraId="5202D798">
      <w:pPr>
        <w:pStyle w:val="2"/>
        <w:spacing w:before="0" w:after="0" w:line="360" w:lineRule="auto"/>
        <w:ind w:firstLine="420" w:firstLineChars="200"/>
        <w:rPr>
          <w:rFonts w:ascii="宋体" w:hAnsi="宋体" w:cs="宋体"/>
          <w:b w:val="0"/>
          <w:sz w:val="21"/>
          <w:szCs w:val="21"/>
        </w:rPr>
      </w:pPr>
      <w:bookmarkStart w:id="194" w:name="_Toc517787548"/>
      <w:bookmarkStart w:id="195" w:name="_Toc234832912"/>
      <w:r>
        <w:rPr>
          <w:rFonts w:hint="eastAsia" w:ascii="宋体" w:hAnsi="宋体" w:cs="宋体"/>
          <w:b w:val="0"/>
          <w:sz w:val="21"/>
          <w:szCs w:val="21"/>
        </w:rPr>
        <w:t>7.5 中标通知</w:t>
      </w:r>
      <w:bookmarkEnd w:id="194"/>
      <w:bookmarkEnd w:id="195"/>
    </w:p>
    <w:p w14:paraId="69EF4D62">
      <w:pPr>
        <w:spacing w:line="360" w:lineRule="auto"/>
        <w:ind w:firstLine="420" w:firstLineChars="200"/>
        <w:rPr>
          <w:rFonts w:ascii="宋体" w:hAnsi="宋体" w:cs="宋体"/>
        </w:rPr>
      </w:pPr>
      <w:r>
        <w:rPr>
          <w:rFonts w:hint="eastAsia" w:ascii="宋体" w:hAnsi="宋体" w:cs="宋体"/>
        </w:rPr>
        <w:t>在本章第3.3款规定的投标有效期内，招标人以投标人须知前附表规定的形式向中标人发出中标通知书，同时将中标结果通知未中标的投标人。</w:t>
      </w:r>
    </w:p>
    <w:p w14:paraId="3AE915C8">
      <w:pPr>
        <w:pStyle w:val="2"/>
        <w:spacing w:before="0" w:after="0" w:line="360" w:lineRule="auto"/>
        <w:ind w:firstLine="420" w:firstLineChars="200"/>
        <w:rPr>
          <w:rFonts w:ascii="宋体" w:hAnsi="宋体" w:cs="宋体"/>
          <w:b w:val="0"/>
          <w:sz w:val="21"/>
          <w:szCs w:val="21"/>
        </w:rPr>
      </w:pPr>
      <w:bookmarkStart w:id="196" w:name="_Toc234832913"/>
      <w:bookmarkStart w:id="197" w:name="_Toc517787550"/>
      <w:r>
        <w:rPr>
          <w:rFonts w:hint="eastAsia" w:ascii="宋体" w:hAnsi="宋体" w:cs="宋体"/>
          <w:b w:val="0"/>
          <w:sz w:val="21"/>
          <w:szCs w:val="21"/>
        </w:rPr>
        <w:t>7.6履约</w:t>
      </w:r>
      <w:bookmarkEnd w:id="196"/>
      <w:r>
        <w:rPr>
          <w:rFonts w:hint="eastAsia" w:ascii="宋体" w:hAnsi="宋体" w:cs="宋体"/>
          <w:b w:val="0"/>
          <w:sz w:val="21"/>
          <w:szCs w:val="21"/>
        </w:rPr>
        <w:t>保证金</w:t>
      </w:r>
      <w:bookmarkEnd w:id="197"/>
    </w:p>
    <w:p w14:paraId="0F7513CA">
      <w:pPr>
        <w:spacing w:line="360" w:lineRule="auto"/>
        <w:ind w:firstLine="420" w:firstLineChars="200"/>
        <w:rPr>
          <w:rFonts w:ascii="宋体" w:hAnsi="宋体" w:cs="宋体"/>
        </w:rPr>
      </w:pPr>
      <w:r>
        <w:rPr>
          <w:rFonts w:hint="eastAsia" w:ascii="宋体" w:hAnsi="宋体" w:cs="宋体"/>
        </w:rPr>
        <w:t>7.6.1 在签订合同前，中标人应按投标人须知前附表规定的形式、金额和招标文件第四章“合同条款及格式”规定的或事先经过招标人书面认可的履约保证金格式向招标人提交履约保证金。除投标人须知前附表另有规定外，履约保证金为签约合同价的5%。联合体中标的，其履约保证金以联合体各方或联合体中牵头人的名义提交。</w:t>
      </w:r>
    </w:p>
    <w:p w14:paraId="7D92346A">
      <w:pPr>
        <w:spacing w:line="360" w:lineRule="auto"/>
        <w:ind w:firstLine="420" w:firstLineChars="200"/>
        <w:rPr>
          <w:rFonts w:ascii="宋体" w:hAnsi="宋体" w:cs="宋体"/>
        </w:rPr>
      </w:pPr>
      <w:r>
        <w:rPr>
          <w:rFonts w:hint="eastAsia" w:ascii="宋体" w:hAnsi="宋体" w:cs="宋体"/>
        </w:rPr>
        <w:t>采用银行保函时，应由符合投标人须知前附表规定级别的银行开具，所需的费用由中标人承担，中标人应保证银行保函有效。</w:t>
      </w:r>
    </w:p>
    <w:p w14:paraId="67F0C10F">
      <w:pPr>
        <w:spacing w:line="360" w:lineRule="auto"/>
        <w:ind w:firstLine="420" w:firstLineChars="200"/>
        <w:rPr>
          <w:rFonts w:ascii="宋体" w:hAnsi="宋体" w:cs="宋体"/>
        </w:rPr>
      </w:pPr>
      <w:r>
        <w:rPr>
          <w:rFonts w:hint="eastAsia" w:ascii="宋体" w:hAnsi="宋体" w:cs="宋体"/>
        </w:rPr>
        <w:t>7.6.2 中标人不能按本章第7.7.1项要求提交履约保证金的，视为放弃中标，其投标保证金不予退还，给招标人造成的损失超过投标保证金数额的，中标人还应对超过部分予以赔偿。</w:t>
      </w:r>
    </w:p>
    <w:p w14:paraId="5C9737D6">
      <w:pPr>
        <w:pStyle w:val="2"/>
        <w:spacing w:before="0" w:after="0" w:line="360" w:lineRule="auto"/>
        <w:ind w:firstLine="420" w:firstLineChars="200"/>
        <w:rPr>
          <w:rFonts w:ascii="宋体" w:hAnsi="宋体" w:cs="宋体"/>
          <w:b w:val="0"/>
          <w:sz w:val="21"/>
          <w:szCs w:val="21"/>
        </w:rPr>
      </w:pPr>
      <w:bookmarkStart w:id="198" w:name="_Toc234832914"/>
      <w:bookmarkStart w:id="199" w:name="_Toc517787551"/>
      <w:r>
        <w:rPr>
          <w:rFonts w:hint="eastAsia" w:ascii="宋体" w:hAnsi="宋体" w:cs="宋体"/>
          <w:b w:val="0"/>
          <w:sz w:val="21"/>
          <w:szCs w:val="21"/>
        </w:rPr>
        <w:t>7.7 签订合同</w:t>
      </w:r>
      <w:bookmarkEnd w:id="198"/>
      <w:bookmarkEnd w:id="199"/>
    </w:p>
    <w:p w14:paraId="5CC2259C">
      <w:pPr>
        <w:spacing w:line="360" w:lineRule="auto"/>
        <w:ind w:firstLine="420" w:firstLineChars="200"/>
        <w:rPr>
          <w:rFonts w:ascii="宋体" w:hAnsi="宋体" w:cs="宋体"/>
        </w:rPr>
      </w:pPr>
      <w:r>
        <w:rPr>
          <w:rFonts w:hint="eastAsia" w:ascii="宋体" w:hAnsi="宋体" w:cs="宋体"/>
        </w:rPr>
        <w:t xml:space="preserve">7.7.1 招标人和中标人应在中标通知书发出之日起30日内，根据招标文件和中标人的投标文件订立书面合同。中标人无正当理由拒签合同，在签订合同时向招标人提出附加条件，或不按照招标文件要求提交履约保证金的，招标人取消其中标资格，其投标保证金不予退还；给招标人造成的损失超过投标保证金数额的，中标人还应对超过部分予以赔偿。 </w:t>
      </w:r>
    </w:p>
    <w:p w14:paraId="3428923F">
      <w:pPr>
        <w:spacing w:line="360" w:lineRule="auto"/>
        <w:ind w:firstLine="420" w:firstLineChars="200"/>
        <w:rPr>
          <w:rFonts w:ascii="宋体" w:hAnsi="宋体" w:cs="宋体"/>
        </w:rPr>
      </w:pPr>
      <w:r>
        <w:rPr>
          <w:rFonts w:hint="eastAsia" w:ascii="宋体" w:hAnsi="宋体" w:cs="宋体"/>
        </w:rPr>
        <w:t>7.7.2 发出中标通知书后，招标人无正当理由拒签合同，或在签订合同时向中标人提出附加条件的，招标人向中标人退还投标保证金；给中标人造成损失的，还应赔偿损失。</w:t>
      </w:r>
    </w:p>
    <w:p w14:paraId="08556702">
      <w:pPr>
        <w:spacing w:line="360" w:lineRule="auto"/>
        <w:ind w:firstLine="420" w:firstLineChars="200"/>
        <w:rPr>
          <w:rFonts w:ascii="宋体" w:hAnsi="宋体" w:cs="宋体"/>
        </w:rPr>
      </w:pPr>
      <w:r>
        <w:rPr>
          <w:rFonts w:hint="eastAsia" w:ascii="宋体" w:hAnsi="宋体" w:cs="宋体"/>
        </w:rPr>
        <w:t>7.7.3 签约合同价为中标人的投标文件中投标函大写金额报价。</w:t>
      </w:r>
    </w:p>
    <w:p w14:paraId="59ECC9D0">
      <w:pPr>
        <w:spacing w:line="360" w:lineRule="auto"/>
        <w:ind w:firstLine="420" w:firstLineChars="200"/>
        <w:rPr>
          <w:rFonts w:ascii="宋体" w:hAnsi="宋体" w:cs="宋体"/>
        </w:rPr>
      </w:pPr>
      <w:r>
        <w:rPr>
          <w:rFonts w:hint="eastAsia" w:ascii="宋体" w:hAnsi="宋体" w:cs="宋体"/>
        </w:rPr>
        <w:t>7.7.4 联合体中标的，联合体各方应共同与招标人签订合同，就中标项目向招标人承担连带责任。</w:t>
      </w:r>
    </w:p>
    <w:p w14:paraId="32135C97">
      <w:pPr>
        <w:spacing w:line="360" w:lineRule="auto"/>
        <w:ind w:firstLine="420" w:firstLineChars="200"/>
        <w:rPr>
          <w:rFonts w:ascii="宋体" w:hAnsi="宋体" w:cs="宋体"/>
        </w:rPr>
      </w:pPr>
      <w:r>
        <w:rPr>
          <w:rFonts w:hint="eastAsia" w:ascii="宋体" w:hAnsi="宋体" w:cs="宋体"/>
        </w:rPr>
        <w:t>7.7.5 招标人和中标人在签订合同协议书的同时，须按照本招标文件规定的格式和要求签订廉政合同及安全生产合同，明确双方在廉政建设和安全生产方面的权利和义务以及应承担的违约责任。</w:t>
      </w:r>
    </w:p>
    <w:p w14:paraId="788C722B">
      <w:pPr>
        <w:pStyle w:val="2"/>
        <w:spacing w:before="0" w:after="0" w:line="360" w:lineRule="auto"/>
        <w:ind w:firstLine="420" w:firstLineChars="200"/>
        <w:rPr>
          <w:rFonts w:ascii="宋体" w:hAnsi="宋体" w:cs="宋体"/>
          <w:b w:val="0"/>
          <w:sz w:val="21"/>
          <w:szCs w:val="21"/>
        </w:rPr>
      </w:pPr>
      <w:bookmarkStart w:id="200" w:name="_Toc517787552"/>
      <w:bookmarkStart w:id="201" w:name="_Toc234832918"/>
      <w:r>
        <w:rPr>
          <w:rFonts w:hint="eastAsia" w:ascii="宋体" w:hAnsi="宋体" w:cs="宋体"/>
          <w:b w:val="0"/>
          <w:sz w:val="21"/>
          <w:szCs w:val="21"/>
        </w:rPr>
        <w:t>8. 纪律和监督</w:t>
      </w:r>
      <w:bookmarkEnd w:id="200"/>
      <w:bookmarkEnd w:id="201"/>
    </w:p>
    <w:p w14:paraId="785E654D">
      <w:pPr>
        <w:pStyle w:val="2"/>
        <w:spacing w:before="0" w:after="0" w:line="360" w:lineRule="auto"/>
        <w:ind w:firstLine="420" w:firstLineChars="200"/>
        <w:rPr>
          <w:rFonts w:ascii="宋体" w:hAnsi="宋体" w:cs="宋体"/>
          <w:b w:val="0"/>
          <w:sz w:val="21"/>
          <w:szCs w:val="21"/>
        </w:rPr>
      </w:pPr>
      <w:bookmarkStart w:id="202" w:name="_Toc234832919"/>
      <w:bookmarkStart w:id="203" w:name="_Toc517787553"/>
      <w:r>
        <w:rPr>
          <w:rFonts w:hint="eastAsia" w:ascii="宋体" w:hAnsi="宋体" w:cs="宋体"/>
          <w:b w:val="0"/>
          <w:sz w:val="21"/>
          <w:szCs w:val="21"/>
        </w:rPr>
        <w:t>8.1 对招标人的纪律要求</w:t>
      </w:r>
      <w:bookmarkEnd w:id="202"/>
      <w:bookmarkEnd w:id="203"/>
    </w:p>
    <w:p w14:paraId="45CDDFEF">
      <w:pPr>
        <w:spacing w:line="360" w:lineRule="auto"/>
        <w:ind w:firstLine="420" w:firstLineChars="200"/>
        <w:rPr>
          <w:rFonts w:ascii="宋体" w:hAnsi="宋体" w:cs="宋体"/>
        </w:rPr>
      </w:pPr>
      <w:r>
        <w:rPr>
          <w:rFonts w:hint="eastAsia" w:ascii="宋体" w:hAnsi="宋体" w:cs="宋体"/>
        </w:rPr>
        <w:t>招标人不得泄露招标投标活动中应保密的情况和资料，不得与投标人串通损害国家利益、社会公共利益或他人合法权益。</w:t>
      </w:r>
    </w:p>
    <w:p w14:paraId="13256742">
      <w:pPr>
        <w:pStyle w:val="2"/>
        <w:spacing w:before="0" w:after="0" w:line="360" w:lineRule="auto"/>
        <w:ind w:firstLine="420" w:firstLineChars="200"/>
        <w:rPr>
          <w:rFonts w:ascii="宋体" w:hAnsi="宋体" w:cs="宋体"/>
          <w:b w:val="0"/>
          <w:sz w:val="21"/>
          <w:szCs w:val="21"/>
        </w:rPr>
      </w:pPr>
      <w:bookmarkStart w:id="204" w:name="_Toc517787554"/>
      <w:bookmarkStart w:id="205" w:name="_Toc234832920"/>
      <w:r>
        <w:rPr>
          <w:rFonts w:hint="eastAsia" w:ascii="宋体" w:hAnsi="宋体" w:cs="宋体"/>
          <w:b w:val="0"/>
          <w:sz w:val="21"/>
          <w:szCs w:val="21"/>
        </w:rPr>
        <w:t>8.2 对投标人的纪律要求</w:t>
      </w:r>
      <w:bookmarkEnd w:id="204"/>
      <w:bookmarkEnd w:id="205"/>
    </w:p>
    <w:p w14:paraId="2B3BEE11">
      <w:pPr>
        <w:spacing w:line="360" w:lineRule="auto"/>
        <w:ind w:firstLine="420" w:firstLineChars="200"/>
        <w:rPr>
          <w:rFonts w:ascii="宋体" w:hAnsi="宋体" w:cs="宋体"/>
        </w:rPr>
      </w:pPr>
      <w:r>
        <w:rPr>
          <w:rFonts w:hint="eastAsia" w:ascii="宋体" w:hAnsi="宋体" w:cs="宋体"/>
        </w:rPr>
        <w:t>投标人不得相互串通投标或与招标人串通投标，不得向招标人或评标委员会成员行贿谋取中标，不得以他人名义投标或以其他方式弄虚作假骗取中标；投标人不得以任何方式干扰、影响评标工作。</w:t>
      </w:r>
    </w:p>
    <w:p w14:paraId="3E96D671">
      <w:pPr>
        <w:pStyle w:val="2"/>
        <w:spacing w:before="0" w:after="0" w:line="360" w:lineRule="auto"/>
        <w:ind w:firstLine="420" w:firstLineChars="200"/>
        <w:rPr>
          <w:rFonts w:ascii="宋体" w:hAnsi="宋体" w:cs="宋体"/>
          <w:b w:val="0"/>
          <w:sz w:val="21"/>
          <w:szCs w:val="21"/>
        </w:rPr>
      </w:pPr>
      <w:bookmarkStart w:id="206" w:name="_Toc517787555"/>
      <w:bookmarkStart w:id="207" w:name="_Toc234832921"/>
      <w:r>
        <w:rPr>
          <w:rFonts w:hint="eastAsia" w:ascii="宋体" w:hAnsi="宋体" w:cs="宋体"/>
          <w:b w:val="0"/>
          <w:sz w:val="21"/>
          <w:szCs w:val="21"/>
        </w:rPr>
        <w:t>8.3 对评标委员会成员的纪律要求</w:t>
      </w:r>
      <w:bookmarkEnd w:id="206"/>
      <w:bookmarkEnd w:id="207"/>
    </w:p>
    <w:p w14:paraId="43D2C63A">
      <w:pPr>
        <w:spacing w:line="360" w:lineRule="auto"/>
        <w:ind w:firstLine="420" w:firstLineChars="200"/>
        <w:rPr>
          <w:rFonts w:ascii="宋体" w:hAnsi="宋体" w:cs="宋体"/>
        </w:rPr>
      </w:pPr>
      <w:r>
        <w:rPr>
          <w:rFonts w:hint="eastAsia" w:ascii="宋体" w:hAnsi="宋体" w:cs="宋体"/>
        </w:rPr>
        <w:t>评标委员会成员不得收受他人的财物或其他好处，不得向他人透露对投标文件的评审和比较、中标候选人的推荐情况以及评标有关的其他情况。在评标活动中，评标委员会成员应客观、公正地履行职责，遵守职业道德，不得擅离职守，影响评标程序正常进行，不得使用第三章“评标办法”没有规定的评审因素和标准进行评标。</w:t>
      </w:r>
    </w:p>
    <w:p w14:paraId="56400FF0">
      <w:pPr>
        <w:pStyle w:val="2"/>
        <w:spacing w:before="0" w:after="0" w:line="360" w:lineRule="auto"/>
        <w:ind w:firstLine="420" w:firstLineChars="200"/>
        <w:rPr>
          <w:rFonts w:ascii="宋体" w:hAnsi="宋体" w:cs="宋体"/>
          <w:b w:val="0"/>
          <w:sz w:val="21"/>
          <w:szCs w:val="21"/>
        </w:rPr>
      </w:pPr>
      <w:bookmarkStart w:id="208" w:name="_Toc517787556"/>
      <w:bookmarkStart w:id="209" w:name="_Toc234832922"/>
      <w:r>
        <w:rPr>
          <w:rFonts w:hint="eastAsia" w:ascii="宋体" w:hAnsi="宋体" w:cs="宋体"/>
          <w:b w:val="0"/>
          <w:sz w:val="21"/>
          <w:szCs w:val="21"/>
        </w:rPr>
        <w:t>8.4 对与评标活动有关的工作人员的纪律要求</w:t>
      </w:r>
      <w:bookmarkEnd w:id="208"/>
      <w:bookmarkEnd w:id="209"/>
    </w:p>
    <w:p w14:paraId="22AEC089">
      <w:pPr>
        <w:spacing w:line="360" w:lineRule="auto"/>
        <w:ind w:firstLine="420" w:firstLineChars="200"/>
        <w:rPr>
          <w:rFonts w:ascii="宋体" w:hAnsi="宋体" w:cs="宋体"/>
        </w:rPr>
      </w:pPr>
      <w:r>
        <w:rPr>
          <w:rFonts w:hint="eastAsia" w:ascii="宋体" w:hAnsi="宋体" w:cs="宋体"/>
        </w:rPr>
        <w:t>与评标活动有关的工作人员不得收受他人的财物或其他好处，不得向他人透露对投标文件的评审和比较、中标候选人的推荐情况以及评标有关的其他情况。在评标活动中，与评标活动有关的工作人员不得擅离职守，影响评标程序正常进行。</w:t>
      </w:r>
    </w:p>
    <w:p w14:paraId="075A12C1">
      <w:pPr>
        <w:pStyle w:val="2"/>
        <w:spacing w:before="0" w:after="0" w:line="360" w:lineRule="auto"/>
        <w:ind w:firstLine="420" w:firstLineChars="200"/>
        <w:rPr>
          <w:rFonts w:ascii="宋体" w:hAnsi="宋体" w:cs="宋体"/>
          <w:b w:val="0"/>
          <w:sz w:val="21"/>
          <w:szCs w:val="21"/>
        </w:rPr>
      </w:pPr>
      <w:bookmarkStart w:id="210" w:name="_Toc234832923"/>
      <w:bookmarkStart w:id="211" w:name="_Toc517787557"/>
      <w:r>
        <w:rPr>
          <w:rFonts w:hint="eastAsia" w:ascii="宋体" w:hAnsi="宋体" w:cs="宋体"/>
          <w:b w:val="0"/>
          <w:sz w:val="21"/>
          <w:szCs w:val="21"/>
        </w:rPr>
        <w:t>8.5 投诉</w:t>
      </w:r>
      <w:bookmarkEnd w:id="210"/>
      <w:bookmarkEnd w:id="211"/>
    </w:p>
    <w:p w14:paraId="3C55900A">
      <w:pPr>
        <w:spacing w:line="360" w:lineRule="auto"/>
        <w:ind w:firstLine="420" w:firstLineChars="200"/>
        <w:rPr>
          <w:rFonts w:ascii="宋体" w:hAnsi="宋体" w:cs="宋体"/>
        </w:rPr>
      </w:pPr>
      <w:r>
        <w:rPr>
          <w:rFonts w:hint="eastAsia" w:ascii="宋体" w:hAnsi="宋体" w:cs="宋体"/>
        </w:rPr>
        <w:t>8.5.1 投标人或其他利害关系人认为招标投标活动不符合法律、行政法规规定的，可以自知道或应当知道之日起10日内向有关行政监督部门投诉，投诉应有明确的请求和必要的证明材料。对于按法律法规规定需要先提出异议的投诉，交通运输主管部门在受理投诉时应要求投诉人递交提出异议的证明文件，已向其他有关行政监督部门投诉的，应当一并说明。未按规定提出异议或者未提交已提出异议的证明文件的投诉，交通运输主管部门不予受理。</w:t>
      </w:r>
    </w:p>
    <w:p w14:paraId="516EE840">
      <w:pPr>
        <w:spacing w:line="360" w:lineRule="auto"/>
        <w:ind w:firstLine="420" w:firstLineChars="200"/>
        <w:rPr>
          <w:rFonts w:ascii="宋体" w:hAnsi="宋体" w:cs="宋体"/>
        </w:rPr>
      </w:pPr>
      <w:r>
        <w:rPr>
          <w:rFonts w:hint="eastAsia" w:ascii="宋体" w:hAnsi="宋体" w:cs="宋体"/>
        </w:rPr>
        <w:t>投诉处理期间，交通运输主管部门有权查阅、复制有关文件、资料，调查有关情况，相关单位和人员应当予以配合。必要时，交通运输主管部门可以责令暂停招标投标活动。投诉人缺乏事实根据或者法律依据进行投诉的，或者有证据表明投诉人捏造事实、伪造材料的，或者投诉人以非法手段取得证明材料进行投诉的，交通运输主管部门应当予以驳回，并对恶意投诉按照有关规定追究投诉人责任。</w:t>
      </w:r>
    </w:p>
    <w:p w14:paraId="06635366">
      <w:pPr>
        <w:spacing w:line="360" w:lineRule="auto"/>
        <w:ind w:firstLine="420" w:firstLineChars="200"/>
        <w:rPr>
          <w:rFonts w:ascii="宋体" w:hAnsi="宋体" w:cs="宋体"/>
        </w:rPr>
      </w:pPr>
      <w:r>
        <w:rPr>
          <w:rFonts w:hint="eastAsia" w:ascii="宋体" w:hAnsi="宋体" w:cs="宋体"/>
        </w:rPr>
        <w:t>监督部门的联系方式见投标人须知前附表。</w:t>
      </w:r>
    </w:p>
    <w:p w14:paraId="5D0EE6A1">
      <w:pPr>
        <w:spacing w:line="360" w:lineRule="auto"/>
        <w:ind w:firstLine="420" w:firstLineChars="200"/>
        <w:rPr>
          <w:rFonts w:ascii="宋体" w:hAnsi="宋体" w:cs="宋体"/>
        </w:rPr>
      </w:pPr>
      <w:r>
        <w:rPr>
          <w:rFonts w:hint="eastAsia" w:ascii="宋体" w:hAnsi="宋体" w:cs="宋体"/>
        </w:rPr>
        <w:t>8.5.2 投标人或其他利害关系人对招标文件、开标和评标结果提出投诉的，应按照本章第2.4款、第5.3款和第7.2款的规定先向招标人提出异议。异议答复期间</w:t>
      </w:r>
      <w:bookmarkStart w:id="212" w:name="_Toc247527595"/>
      <w:bookmarkStart w:id="213" w:name="_Toc144974538"/>
      <w:bookmarkStart w:id="214" w:name="_Toc384308255"/>
      <w:bookmarkStart w:id="215" w:name="_Toc352691517"/>
      <w:bookmarkStart w:id="216" w:name="_Toc361508630"/>
      <w:bookmarkStart w:id="217" w:name="_Toc247513994"/>
      <w:bookmarkStart w:id="218" w:name="_Toc300834993"/>
      <w:bookmarkStart w:id="219" w:name="_Toc369531561"/>
      <w:bookmarkStart w:id="220" w:name="_Toc152042346"/>
      <w:bookmarkStart w:id="221" w:name="_Toc152045570"/>
      <w:bookmarkStart w:id="222" w:name="_Toc12776"/>
      <w:r>
        <w:rPr>
          <w:rFonts w:hint="eastAsia" w:ascii="宋体" w:hAnsi="宋体" w:cs="宋体"/>
        </w:rPr>
        <w:t>不计算在第8.5.</w:t>
      </w:r>
      <w:bookmarkEnd w:id="212"/>
      <w:bookmarkEnd w:id="213"/>
      <w:bookmarkEnd w:id="214"/>
      <w:bookmarkEnd w:id="215"/>
      <w:bookmarkEnd w:id="216"/>
      <w:bookmarkEnd w:id="217"/>
      <w:bookmarkEnd w:id="218"/>
      <w:bookmarkEnd w:id="219"/>
      <w:bookmarkEnd w:id="220"/>
      <w:bookmarkEnd w:id="221"/>
      <w:bookmarkEnd w:id="222"/>
      <w:r>
        <w:rPr>
          <w:rFonts w:hint="eastAsia" w:ascii="宋体" w:hAnsi="宋体" w:cs="宋体"/>
        </w:rPr>
        <w:t>1项规定的期限内。</w:t>
      </w:r>
    </w:p>
    <w:p w14:paraId="1527D7C0">
      <w:pPr>
        <w:pStyle w:val="2"/>
        <w:spacing w:before="0" w:after="0" w:line="360" w:lineRule="auto"/>
        <w:ind w:firstLine="420" w:firstLineChars="200"/>
        <w:rPr>
          <w:rFonts w:ascii="宋体" w:hAnsi="宋体" w:cs="宋体"/>
          <w:b w:val="0"/>
          <w:sz w:val="21"/>
          <w:szCs w:val="21"/>
        </w:rPr>
      </w:pPr>
      <w:bookmarkStart w:id="223" w:name="_Toc517787558"/>
      <w:r>
        <w:rPr>
          <w:rFonts w:hint="eastAsia" w:ascii="宋体" w:hAnsi="宋体" w:cs="宋体"/>
          <w:b w:val="0"/>
          <w:sz w:val="21"/>
          <w:szCs w:val="21"/>
        </w:rPr>
        <w:t>9. 是否采用电子招标投标</w:t>
      </w:r>
      <w:bookmarkEnd w:id="223"/>
    </w:p>
    <w:p w14:paraId="24C1CAF2">
      <w:pPr>
        <w:spacing w:line="360" w:lineRule="auto"/>
        <w:ind w:firstLine="420" w:firstLineChars="200"/>
        <w:rPr>
          <w:rFonts w:ascii="宋体" w:hAnsi="宋体" w:cs="宋体"/>
        </w:rPr>
      </w:pPr>
      <w:r>
        <w:rPr>
          <w:rFonts w:hint="eastAsia" w:ascii="宋体" w:hAnsi="宋体" w:cs="宋体"/>
        </w:rPr>
        <w:t>本招标项目是否采用电子招标投标方式，见投标人须知前附表。</w:t>
      </w:r>
    </w:p>
    <w:p w14:paraId="32FC2117">
      <w:pPr>
        <w:pStyle w:val="2"/>
        <w:spacing w:before="0" w:after="0" w:line="360" w:lineRule="auto"/>
        <w:ind w:firstLine="420" w:firstLineChars="200"/>
        <w:rPr>
          <w:rFonts w:ascii="宋体" w:hAnsi="宋体" w:cs="宋体"/>
          <w:b w:val="0"/>
          <w:sz w:val="21"/>
          <w:szCs w:val="21"/>
        </w:rPr>
      </w:pPr>
      <w:bookmarkStart w:id="224" w:name="_Toc234832924"/>
      <w:bookmarkStart w:id="225" w:name="_Toc517787559"/>
      <w:r>
        <w:rPr>
          <w:rFonts w:hint="eastAsia" w:ascii="宋体" w:hAnsi="宋体" w:cs="宋体"/>
          <w:b w:val="0"/>
          <w:sz w:val="21"/>
          <w:szCs w:val="21"/>
        </w:rPr>
        <w:t>10. 需要补充的其他内容</w:t>
      </w:r>
      <w:bookmarkEnd w:id="224"/>
      <w:bookmarkEnd w:id="225"/>
    </w:p>
    <w:p w14:paraId="175650AF">
      <w:pPr>
        <w:spacing w:line="360" w:lineRule="auto"/>
        <w:ind w:firstLine="420" w:firstLineChars="200"/>
        <w:rPr>
          <w:rFonts w:ascii="宋体" w:hAnsi="宋体" w:cs="宋体"/>
        </w:rPr>
      </w:pPr>
      <w:r>
        <w:rPr>
          <w:rFonts w:hint="eastAsia" w:ascii="宋体" w:hAnsi="宋体" w:cs="宋体"/>
        </w:rPr>
        <w:t>10.1 自购买招标文件之日起，投标人应保证其提供的联系方式（电话、传真、电子邮件）一直有效，以便及时收到招标人发出的函件(招标文件的澄清、修改等)，并应及时向招标人反馈信息，否则招标人不承担由此引起的一切后果。</w:t>
      </w:r>
    </w:p>
    <w:p w14:paraId="2AACA311">
      <w:pPr>
        <w:widowControl/>
        <w:jc w:val="left"/>
        <w:rPr>
          <w:color w:val="000000" w:themeColor="text1"/>
          <w:kern w:val="44"/>
          <w:sz w:val="36"/>
          <w:szCs w:val="36"/>
        </w:rPr>
      </w:pPr>
      <w:bookmarkStart w:id="226" w:name="_Toc238559186"/>
      <w:bookmarkStart w:id="227" w:name="_Toc144974565"/>
      <w:bookmarkStart w:id="228" w:name="_Toc460366498"/>
      <w:bookmarkStart w:id="229" w:name="_Toc234744445"/>
      <w:bookmarkStart w:id="230" w:name="_Toc179632616"/>
      <w:bookmarkStart w:id="231" w:name="_Toc234675077"/>
      <w:bookmarkStart w:id="232" w:name="_Toc152045598"/>
      <w:bookmarkStart w:id="233" w:name="_Toc152042375"/>
      <w:bookmarkStart w:id="234" w:name="_Toc15332"/>
      <w:bookmarkStart w:id="235" w:name="_Toc18877"/>
      <w:bookmarkStart w:id="236" w:name="_Toc1776"/>
      <w:bookmarkStart w:id="237" w:name="_Toc508615694"/>
      <w:r>
        <w:rPr>
          <w:b/>
          <w:bCs/>
          <w:color w:val="000000" w:themeColor="text1"/>
          <w:sz w:val="36"/>
          <w:szCs w:val="36"/>
        </w:rPr>
        <w:br w:type="page"/>
      </w:r>
    </w:p>
    <w:p w14:paraId="54E1B9C8">
      <w:pPr>
        <w:pStyle w:val="2"/>
        <w:spacing w:before="120" w:beforeLines="50" w:after="120" w:afterLines="50" w:line="240" w:lineRule="auto"/>
        <w:jc w:val="center"/>
        <w:rPr>
          <w:b w:val="0"/>
          <w:bCs w:val="0"/>
          <w:color w:val="000000" w:themeColor="text1"/>
          <w:sz w:val="36"/>
          <w:szCs w:val="36"/>
        </w:rPr>
      </w:pPr>
      <w:r>
        <w:rPr>
          <w:b w:val="0"/>
          <w:bCs w:val="0"/>
          <w:color w:val="000000" w:themeColor="text1"/>
          <w:sz w:val="36"/>
          <w:szCs w:val="36"/>
        </w:rPr>
        <w:t>第三章评标办法</w:t>
      </w:r>
      <w:bookmarkEnd w:id="226"/>
      <w:bookmarkEnd w:id="227"/>
      <w:bookmarkEnd w:id="228"/>
      <w:bookmarkEnd w:id="229"/>
      <w:bookmarkEnd w:id="230"/>
      <w:bookmarkEnd w:id="231"/>
      <w:bookmarkEnd w:id="232"/>
      <w:bookmarkEnd w:id="233"/>
      <w:r>
        <w:rPr>
          <w:rFonts w:hint="eastAsia"/>
          <w:b w:val="0"/>
          <w:bCs w:val="0"/>
          <w:color w:val="000000" w:themeColor="text1"/>
          <w:sz w:val="36"/>
          <w:szCs w:val="36"/>
        </w:rPr>
        <w:t>（合理低价法）</w:t>
      </w:r>
      <w:bookmarkEnd w:id="234"/>
      <w:bookmarkEnd w:id="235"/>
      <w:bookmarkEnd w:id="236"/>
      <w:bookmarkEnd w:id="237"/>
    </w:p>
    <w:p w14:paraId="7D7B2FF4">
      <w:pPr>
        <w:pStyle w:val="145"/>
        <w:spacing w:before="36" w:after="120" w:afterLines="50"/>
        <w:ind w:left="-3" w:leftChars="-84" w:hanging="173" w:hangingChars="62"/>
        <w:rPr>
          <w:rFonts w:ascii="宋体" w:hAnsi="宋体" w:eastAsia="宋体"/>
        </w:rPr>
      </w:pPr>
      <w:r>
        <w:rPr>
          <w:rFonts w:hint="eastAsia" w:ascii="宋体" w:hAnsi="宋体" w:eastAsia="宋体" w:cs="宋体"/>
        </w:rPr>
        <w:t>评标办法前附表</w:t>
      </w:r>
    </w:p>
    <w:tbl>
      <w:tblPr>
        <w:tblStyle w:val="48"/>
        <w:tblW w:w="4999"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36"/>
        <w:gridCol w:w="1165"/>
        <w:gridCol w:w="6901"/>
      </w:tblGrid>
      <w:tr w14:paraId="5FDC0B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 w:hRule="atLeast"/>
          <w:jc w:val="center"/>
        </w:trPr>
        <w:tc>
          <w:tcPr>
            <w:tcW w:w="1167" w:type="pct"/>
            <w:gridSpan w:val="2"/>
            <w:tcBorders>
              <w:top w:val="single" w:color="auto" w:sz="4" w:space="0"/>
              <w:bottom w:val="single" w:color="auto" w:sz="4" w:space="0"/>
              <w:right w:val="single" w:color="auto" w:sz="4" w:space="0"/>
            </w:tcBorders>
            <w:vAlign w:val="center"/>
          </w:tcPr>
          <w:p w14:paraId="4F02CF98">
            <w:pPr>
              <w:jc w:val="center"/>
              <w:rPr>
                <w:rFonts w:ascii="宋体" w:hAnsi="宋体" w:cs="宋体"/>
                <w:b/>
              </w:rPr>
            </w:pPr>
            <w:r>
              <w:rPr>
                <w:rFonts w:hint="eastAsia" w:ascii="宋体" w:hAnsi="宋体" w:cs="宋体"/>
                <w:b/>
              </w:rPr>
              <w:t>条款号</w:t>
            </w:r>
          </w:p>
        </w:tc>
        <w:tc>
          <w:tcPr>
            <w:tcW w:w="3832" w:type="pct"/>
            <w:tcBorders>
              <w:top w:val="single" w:color="auto" w:sz="4" w:space="0"/>
              <w:left w:val="single" w:color="auto" w:sz="4" w:space="0"/>
              <w:bottom w:val="single" w:color="auto" w:sz="4" w:space="0"/>
            </w:tcBorders>
            <w:vAlign w:val="center"/>
          </w:tcPr>
          <w:p w14:paraId="6B631380">
            <w:pPr>
              <w:jc w:val="center"/>
              <w:rPr>
                <w:rFonts w:ascii="宋体" w:hAnsi="宋体" w:cs="宋体"/>
                <w:b/>
              </w:rPr>
            </w:pPr>
            <w:r>
              <w:rPr>
                <w:rFonts w:hint="eastAsia" w:ascii="宋体" w:hAnsi="宋体" w:cs="宋体"/>
                <w:b/>
              </w:rPr>
              <w:t>评审因素与评审标准</w:t>
            </w:r>
          </w:p>
        </w:tc>
      </w:tr>
      <w:tr w14:paraId="4713AF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20" w:type="pct"/>
            <w:tcBorders>
              <w:top w:val="single" w:color="auto" w:sz="4" w:space="0"/>
              <w:bottom w:val="single" w:color="auto" w:sz="4" w:space="0"/>
              <w:right w:val="single" w:color="auto" w:sz="4" w:space="0"/>
            </w:tcBorders>
            <w:vAlign w:val="center"/>
          </w:tcPr>
          <w:p w14:paraId="0AE9F66C">
            <w:pPr>
              <w:jc w:val="center"/>
              <w:rPr>
                <w:rFonts w:ascii="宋体" w:hAnsi="宋体" w:cs="宋体"/>
              </w:rPr>
            </w:pPr>
            <w:r>
              <w:rPr>
                <w:rFonts w:hint="eastAsia" w:ascii="宋体" w:hAnsi="宋体" w:cs="宋体"/>
              </w:rPr>
              <w:t>1</w:t>
            </w:r>
          </w:p>
        </w:tc>
        <w:tc>
          <w:tcPr>
            <w:tcW w:w="647" w:type="pct"/>
            <w:tcBorders>
              <w:top w:val="single" w:color="auto" w:sz="4" w:space="0"/>
              <w:bottom w:val="single" w:color="auto" w:sz="4" w:space="0"/>
              <w:right w:val="single" w:color="auto" w:sz="4" w:space="0"/>
            </w:tcBorders>
            <w:vAlign w:val="center"/>
          </w:tcPr>
          <w:p w14:paraId="75D9D3D6">
            <w:pPr>
              <w:jc w:val="center"/>
              <w:rPr>
                <w:rFonts w:ascii="宋体" w:hAnsi="宋体" w:cs="宋体"/>
              </w:rPr>
            </w:pPr>
            <w:r>
              <w:rPr>
                <w:rFonts w:hint="eastAsia" w:ascii="宋体" w:hAnsi="宋体" w:cs="宋体"/>
              </w:rPr>
              <w:t>评标方法</w:t>
            </w:r>
          </w:p>
        </w:tc>
        <w:tc>
          <w:tcPr>
            <w:tcW w:w="3832" w:type="pct"/>
            <w:tcBorders>
              <w:top w:val="single" w:color="auto" w:sz="4" w:space="0"/>
              <w:left w:val="single" w:color="auto" w:sz="4" w:space="0"/>
            </w:tcBorders>
            <w:vAlign w:val="center"/>
          </w:tcPr>
          <w:p w14:paraId="7FEFD585">
            <w:pPr>
              <w:rPr>
                <w:rFonts w:ascii="宋体" w:hAnsi="宋体"/>
              </w:rPr>
            </w:pPr>
            <w:r>
              <w:rPr>
                <w:rFonts w:hint="eastAsia" w:ascii="宋体" w:hAnsi="宋体"/>
              </w:rPr>
              <w:t>1、综合评分相等时，评标委员会依次按照以下优先顺序推荐中标候选人或确定中标人：</w:t>
            </w:r>
          </w:p>
          <w:p w14:paraId="717F8496">
            <w:pPr>
              <w:rPr>
                <w:rFonts w:ascii="宋体" w:hAnsi="宋体"/>
              </w:rPr>
            </w:pPr>
            <w:r>
              <w:rPr>
                <w:rFonts w:hint="eastAsia" w:ascii="宋体" w:hAnsi="宋体"/>
              </w:rPr>
              <w:t>（1）评标价低的投标人优先；</w:t>
            </w:r>
          </w:p>
          <w:p w14:paraId="209159D3">
            <w:pPr>
              <w:rPr>
                <w:rFonts w:ascii="宋体" w:hAnsi="宋体"/>
              </w:rPr>
            </w:pPr>
            <w:r>
              <w:rPr>
                <w:rFonts w:hint="eastAsia" w:ascii="宋体" w:hAnsi="宋体"/>
              </w:rPr>
              <w:t>（2）评标委员会全体成员记名票决推荐中标候选人。</w:t>
            </w:r>
          </w:p>
          <w:p w14:paraId="27E44280">
            <w:pPr>
              <w:pStyle w:val="20"/>
              <w:rPr>
                <w:rFonts w:ascii="宋体" w:hAnsi="宋体"/>
              </w:rPr>
            </w:pPr>
            <w:r>
              <w:rPr>
                <w:rFonts w:hint="eastAsia" w:ascii="宋体" w:hAnsi="宋体"/>
              </w:rPr>
              <w:t>2、通过投标文件第一信封（商务及技术文件）评审的投标人不足3家的，评标委员会可以否决全部投标；未否决全部投标的，评标委员会应当在评标报告中阐明理由，招标人可按照第二章“投标人须知”第5.1款规定的时间和地点对投标文件第二信封（报价文件）进行开标，但评标委员会在进行报价文件评审时仍有权否决全部投标；评标委员会未在报价文件评审时否决全部投标的，应当在评标报告中阐明理由。</w:t>
            </w:r>
          </w:p>
        </w:tc>
      </w:tr>
      <w:tr w14:paraId="6D3AC1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41" w:hRule="atLeast"/>
          <w:jc w:val="center"/>
        </w:trPr>
        <w:tc>
          <w:tcPr>
            <w:tcW w:w="520" w:type="pct"/>
            <w:tcBorders>
              <w:top w:val="single" w:color="auto" w:sz="4" w:space="0"/>
              <w:bottom w:val="single" w:color="auto" w:sz="4" w:space="0"/>
              <w:right w:val="single" w:color="auto" w:sz="4" w:space="0"/>
            </w:tcBorders>
            <w:vAlign w:val="center"/>
          </w:tcPr>
          <w:p w14:paraId="0EC7BA92">
            <w:pPr>
              <w:jc w:val="center"/>
              <w:rPr>
                <w:rFonts w:ascii="宋体" w:hAnsi="宋体" w:cs="宋体"/>
              </w:rPr>
            </w:pPr>
            <w:r>
              <w:rPr>
                <w:rFonts w:hint="eastAsia" w:ascii="宋体" w:hAnsi="宋体" w:cs="宋体"/>
              </w:rPr>
              <w:t>2.1.1</w:t>
            </w:r>
          </w:p>
          <w:p w14:paraId="13C63136">
            <w:pPr>
              <w:jc w:val="center"/>
              <w:rPr>
                <w:rFonts w:ascii="宋体" w:hAnsi="宋体" w:cs="宋体"/>
              </w:rPr>
            </w:pPr>
            <w:r>
              <w:rPr>
                <w:rFonts w:hint="eastAsia" w:ascii="宋体" w:hAnsi="宋体" w:cs="宋体"/>
              </w:rPr>
              <w:t>2.1.3</w:t>
            </w:r>
          </w:p>
        </w:tc>
        <w:tc>
          <w:tcPr>
            <w:tcW w:w="647" w:type="pct"/>
            <w:tcBorders>
              <w:top w:val="single" w:color="auto" w:sz="4" w:space="0"/>
              <w:bottom w:val="single" w:color="auto" w:sz="4" w:space="0"/>
              <w:right w:val="single" w:color="auto" w:sz="4" w:space="0"/>
            </w:tcBorders>
            <w:vAlign w:val="center"/>
          </w:tcPr>
          <w:p w14:paraId="15BE8749">
            <w:pPr>
              <w:jc w:val="center"/>
              <w:rPr>
                <w:rFonts w:ascii="宋体" w:hAnsi="宋体" w:cs="宋体"/>
              </w:rPr>
            </w:pPr>
            <w:r>
              <w:rPr>
                <w:rFonts w:hint="eastAsia" w:ascii="宋体" w:hAnsi="宋体" w:cs="宋体"/>
              </w:rPr>
              <w:t>形式评审与响应性评审标准</w:t>
            </w:r>
          </w:p>
        </w:tc>
        <w:tc>
          <w:tcPr>
            <w:tcW w:w="3832" w:type="pct"/>
            <w:tcBorders>
              <w:top w:val="single" w:color="auto" w:sz="4" w:space="0"/>
              <w:left w:val="single" w:color="auto" w:sz="4" w:space="0"/>
              <w:bottom w:val="single" w:color="auto" w:sz="4" w:space="0"/>
            </w:tcBorders>
            <w:vAlign w:val="center"/>
          </w:tcPr>
          <w:p w14:paraId="0C8078C2">
            <w:pPr>
              <w:rPr>
                <w:rFonts w:ascii="宋体" w:hAnsi="宋体" w:cs="宋体"/>
                <w:b/>
              </w:rPr>
            </w:pPr>
            <w:r>
              <w:rPr>
                <w:rFonts w:hint="eastAsia" w:ascii="宋体" w:hAnsi="宋体" w:cs="宋体"/>
                <w:b/>
              </w:rPr>
              <w:t>第一个信封（商务文件）评审标准：</w:t>
            </w:r>
          </w:p>
          <w:p w14:paraId="11CC9F6B">
            <w:pPr>
              <w:rPr>
                <w:rFonts w:ascii="宋体" w:hAnsi="宋体" w:cs="宋体"/>
              </w:rPr>
            </w:pPr>
            <w:r>
              <w:rPr>
                <w:rFonts w:hint="eastAsia" w:ascii="宋体" w:hAnsi="宋体" w:cs="宋体"/>
              </w:rPr>
              <w:t>（1）投标文件按照招标文件规定的格式、内容填写，字迹清晰可辨：</w:t>
            </w:r>
          </w:p>
          <w:p w14:paraId="12996EB7">
            <w:pPr>
              <w:rPr>
                <w:rFonts w:ascii="宋体" w:hAnsi="宋体" w:cs="宋体"/>
              </w:rPr>
            </w:pPr>
            <w:r>
              <w:rPr>
                <w:rFonts w:hint="eastAsia" w:ascii="宋体" w:hAnsi="宋体" w:cs="宋体"/>
              </w:rPr>
              <w:t>a.投标函按招标文件规定填报了项目名称、补遗书编号（如有）、标段号、工期、工程质量要求及安全目标；</w:t>
            </w:r>
          </w:p>
          <w:p w14:paraId="2E665D57">
            <w:pPr>
              <w:rPr>
                <w:rFonts w:ascii="宋体" w:hAnsi="宋体" w:cs="宋体"/>
              </w:rPr>
            </w:pPr>
            <w:r>
              <w:rPr>
                <w:rFonts w:hint="eastAsia" w:ascii="宋体" w:hAnsi="宋体" w:cs="宋体"/>
              </w:rPr>
              <w:t>b.投标函附录的所有数据均符合招标文件规定；</w:t>
            </w:r>
          </w:p>
          <w:p w14:paraId="584B8E30">
            <w:pPr>
              <w:rPr>
                <w:rFonts w:ascii="宋体" w:hAnsi="宋体" w:cs="宋体"/>
              </w:rPr>
            </w:pPr>
            <w:r>
              <w:rPr>
                <w:rFonts w:hint="eastAsia" w:ascii="宋体" w:hAnsi="宋体" w:cs="宋体"/>
              </w:rPr>
              <w:t>c.投标文件组成齐全完整，内容均按规定填写。</w:t>
            </w:r>
          </w:p>
          <w:p w14:paraId="7C7269CA">
            <w:pPr>
              <w:rPr>
                <w:rFonts w:ascii="宋体" w:hAnsi="宋体" w:cs="宋体"/>
              </w:rPr>
            </w:pPr>
            <w:r>
              <w:rPr>
                <w:rFonts w:hint="eastAsia" w:ascii="宋体" w:hAnsi="宋体" w:cs="宋体"/>
              </w:rPr>
              <w:t>（2）投标文件上法定代表人或其委托代理人的签字、投标人的单位章盖章齐全，符合招标文件规定。</w:t>
            </w:r>
          </w:p>
          <w:p w14:paraId="23FBEB9D">
            <w:pPr>
              <w:rPr>
                <w:rFonts w:ascii="宋体" w:hAnsi="宋体" w:cs="宋体"/>
              </w:rPr>
            </w:pPr>
            <w:r>
              <w:rPr>
                <w:rFonts w:hint="eastAsia" w:ascii="宋体" w:hAnsi="宋体" w:cs="宋体"/>
              </w:rPr>
              <w:t>（3）投标人按照招标文件的规定提供了投标保证金。</w:t>
            </w:r>
          </w:p>
          <w:p w14:paraId="3B7DA7D4">
            <w:pPr>
              <w:rPr>
                <w:rFonts w:ascii="宋体" w:hAnsi="宋体" w:cs="宋体"/>
              </w:rPr>
            </w:pPr>
            <w:r>
              <w:rPr>
                <w:rFonts w:hint="eastAsia" w:ascii="宋体" w:hAnsi="宋体" w:cs="宋体"/>
              </w:rPr>
              <w:t>（4）投标人法定代表人授权委托代理人签署投标文件的，须提交授权委托书，且授权人和被授权人均在授权委托书上签名或签章。</w:t>
            </w:r>
          </w:p>
          <w:p w14:paraId="37324F4C">
            <w:pPr>
              <w:rPr>
                <w:rFonts w:ascii="宋体" w:hAnsi="宋体" w:cs="宋体"/>
              </w:rPr>
            </w:pPr>
            <w:r>
              <w:rPr>
                <w:rFonts w:hint="eastAsia" w:ascii="宋体" w:hAnsi="宋体" w:cs="宋体"/>
              </w:rPr>
              <w:t>（5）投标人法定代表人亲自签署投标文件的，提供了法定代表人身份证明，且法定代表人在法定代表人身份证明上签名或签章。</w:t>
            </w:r>
          </w:p>
          <w:p w14:paraId="7C66DC6B">
            <w:pPr>
              <w:rPr>
                <w:rFonts w:ascii="宋体" w:hAnsi="宋体" w:cs="宋体"/>
              </w:rPr>
            </w:pPr>
            <w:r>
              <w:rPr>
                <w:rFonts w:hint="eastAsia" w:ascii="宋体" w:hAnsi="宋体" w:cs="宋体"/>
              </w:rPr>
              <w:t>（6）投标人未以联合体形式投标时；</w:t>
            </w:r>
          </w:p>
          <w:p w14:paraId="170210FC">
            <w:pPr>
              <w:rPr>
                <w:rFonts w:ascii="宋体" w:hAnsi="宋体" w:cs="宋体"/>
              </w:rPr>
            </w:pPr>
            <w:r>
              <w:rPr>
                <w:rFonts w:hint="eastAsia" w:ascii="宋体" w:hAnsi="宋体" w:cs="宋体"/>
              </w:rPr>
              <w:t>（7）投标人无分包计划。</w:t>
            </w:r>
          </w:p>
          <w:p w14:paraId="747E1B75">
            <w:pPr>
              <w:rPr>
                <w:rFonts w:ascii="宋体" w:hAnsi="宋体" w:cs="宋体"/>
              </w:rPr>
            </w:pPr>
            <w:r>
              <w:rPr>
                <w:rFonts w:hint="eastAsia" w:ascii="宋体" w:hAnsi="宋体" w:cs="宋体"/>
              </w:rPr>
              <w:t>（8）同一投标人未提交两个以上不同的投标文件，但招标文件要求提交备选投标的除外。</w:t>
            </w:r>
          </w:p>
          <w:p w14:paraId="0EC9AF3D">
            <w:pPr>
              <w:rPr>
                <w:rFonts w:ascii="宋体" w:hAnsi="宋体" w:cs="宋体"/>
              </w:rPr>
            </w:pPr>
            <w:r>
              <w:rPr>
                <w:rFonts w:hint="eastAsia" w:ascii="宋体" w:hAnsi="宋体" w:cs="宋体"/>
              </w:rPr>
              <w:t>（9）投标文件中未出现有关投标报价的内容。</w:t>
            </w:r>
          </w:p>
          <w:p w14:paraId="16AF7AE2">
            <w:pPr>
              <w:rPr>
                <w:rFonts w:ascii="宋体" w:hAnsi="宋体" w:cs="宋体"/>
              </w:rPr>
            </w:pPr>
            <w:r>
              <w:rPr>
                <w:rFonts w:hint="eastAsia" w:ascii="宋体" w:hAnsi="宋体" w:cs="宋体"/>
              </w:rPr>
              <w:t>（10）投标文件载明的招标项目完成期限未超过招标文件规定的时限。</w:t>
            </w:r>
          </w:p>
          <w:p w14:paraId="6B261169">
            <w:pPr>
              <w:rPr>
                <w:rFonts w:ascii="宋体" w:hAnsi="宋体" w:cs="宋体"/>
              </w:rPr>
            </w:pPr>
            <w:r>
              <w:rPr>
                <w:rFonts w:hint="eastAsia" w:ascii="宋体" w:hAnsi="宋体" w:cs="宋体"/>
              </w:rPr>
              <w:t>（11）投标文件对招标文件的实质性要求和条件作出响应。</w:t>
            </w:r>
          </w:p>
          <w:p w14:paraId="32B185C3">
            <w:pPr>
              <w:rPr>
                <w:rFonts w:ascii="宋体" w:hAnsi="宋体" w:cs="宋体"/>
              </w:rPr>
            </w:pPr>
            <w:r>
              <w:rPr>
                <w:rFonts w:hint="eastAsia" w:ascii="宋体" w:hAnsi="宋体" w:cs="宋体"/>
              </w:rPr>
              <w:t>（12）权利义务符合招标文件规定：</w:t>
            </w:r>
          </w:p>
          <w:p w14:paraId="2ED000B3">
            <w:pPr>
              <w:rPr>
                <w:rFonts w:ascii="宋体" w:hAnsi="宋体" w:cs="宋体"/>
              </w:rPr>
            </w:pPr>
            <w:r>
              <w:rPr>
                <w:rFonts w:hint="eastAsia" w:ascii="宋体" w:hAnsi="宋体" w:cs="宋体"/>
              </w:rPr>
              <w:t>a.投标人应接受招标文件规定的风险划分原则，未提出新的风险划分办法；</w:t>
            </w:r>
          </w:p>
          <w:p w14:paraId="1F0BBF63">
            <w:pPr>
              <w:rPr>
                <w:rFonts w:ascii="宋体" w:hAnsi="宋体" w:cs="宋体"/>
              </w:rPr>
            </w:pPr>
            <w:r>
              <w:rPr>
                <w:rFonts w:hint="eastAsia" w:ascii="宋体" w:hAnsi="宋体" w:cs="宋体"/>
              </w:rPr>
              <w:t>b.投标人未增加发包人的责任范围，或减少投标人义务；</w:t>
            </w:r>
          </w:p>
          <w:p w14:paraId="3DC92FEF">
            <w:pPr>
              <w:rPr>
                <w:rFonts w:ascii="宋体" w:hAnsi="宋体" w:cs="宋体"/>
              </w:rPr>
            </w:pPr>
            <w:r>
              <w:rPr>
                <w:rFonts w:hint="eastAsia" w:ascii="宋体" w:hAnsi="宋体" w:cs="宋体"/>
              </w:rPr>
              <w:t>c.投标人未提出不同的工程验收、计量、支付办法；</w:t>
            </w:r>
          </w:p>
          <w:p w14:paraId="2E6DC115">
            <w:pPr>
              <w:rPr>
                <w:rFonts w:ascii="宋体" w:hAnsi="宋体" w:cs="宋体"/>
              </w:rPr>
            </w:pPr>
            <w:r>
              <w:rPr>
                <w:rFonts w:hint="eastAsia" w:ascii="宋体" w:hAnsi="宋体" w:cs="宋体"/>
              </w:rPr>
              <w:t>d.投标人对合同纠纷、事故处理办法未提出异议；</w:t>
            </w:r>
          </w:p>
          <w:p w14:paraId="4BB46538">
            <w:pPr>
              <w:rPr>
                <w:rFonts w:ascii="宋体" w:hAnsi="宋体" w:cs="宋体"/>
              </w:rPr>
            </w:pPr>
            <w:r>
              <w:rPr>
                <w:rFonts w:hint="eastAsia" w:ascii="宋体" w:hAnsi="宋体" w:cs="宋体"/>
              </w:rPr>
              <w:t>e.投标人在投标活动中无欺诈行为；</w:t>
            </w:r>
          </w:p>
          <w:p w14:paraId="21E0B639">
            <w:pPr>
              <w:rPr>
                <w:rFonts w:ascii="宋体" w:hAnsi="宋体" w:cs="宋体"/>
              </w:rPr>
            </w:pPr>
            <w:r>
              <w:rPr>
                <w:rFonts w:hint="eastAsia" w:ascii="宋体" w:hAnsi="宋体" w:cs="宋体"/>
              </w:rPr>
              <w:t>f.投标人未对合同条款有重要保留。</w:t>
            </w:r>
          </w:p>
          <w:p w14:paraId="2D1999B4">
            <w:pPr>
              <w:rPr>
                <w:rFonts w:ascii="宋体" w:hAnsi="宋体" w:cs="宋体"/>
              </w:rPr>
            </w:pPr>
            <w:r>
              <w:rPr>
                <w:rFonts w:hint="eastAsia" w:ascii="宋体" w:hAnsi="宋体" w:cs="宋体"/>
              </w:rPr>
              <w:t>（13）投标文件正、副本份数符合招标文件第二章“投标人须知”第3.7.4项规定。</w:t>
            </w:r>
          </w:p>
          <w:p w14:paraId="38E75B90">
            <w:pPr>
              <w:rPr>
                <w:rFonts w:ascii="宋体" w:hAnsi="宋体" w:cs="宋体"/>
                <w:b/>
                <w:bCs/>
              </w:rPr>
            </w:pPr>
            <w:r>
              <w:rPr>
                <w:rFonts w:hint="eastAsia" w:ascii="宋体" w:hAnsi="宋体" w:cs="宋体"/>
                <w:b/>
                <w:bCs/>
              </w:rPr>
              <w:t>第二个信封（报价文件）评审标准：</w:t>
            </w:r>
          </w:p>
          <w:p w14:paraId="4B1C9AEA">
            <w:pPr>
              <w:rPr>
                <w:rFonts w:ascii="宋体" w:hAnsi="宋体" w:cs="宋体"/>
                <w:b/>
                <w:bCs/>
              </w:rPr>
            </w:pPr>
            <w:r>
              <w:rPr>
                <w:rFonts w:hint="eastAsia" w:ascii="宋体" w:hAnsi="宋体" w:cs="宋体"/>
              </w:rPr>
              <w:t>（1）投标文件按照招标文件规定的格式、内容填写，字迹清晰可辨：</w:t>
            </w:r>
          </w:p>
          <w:p w14:paraId="544D34DB">
            <w:pPr>
              <w:rPr>
                <w:rFonts w:ascii="宋体" w:hAnsi="宋体" w:cs="宋体"/>
              </w:rPr>
            </w:pPr>
            <w:r>
              <w:rPr>
                <w:rFonts w:hint="eastAsia" w:ascii="宋体" w:hAnsi="宋体" w:cs="宋体"/>
              </w:rPr>
              <w:t>a.投标函按招标文件规定填报了项目名称、标段号、补遗书编号（如有）、投标价（包括大写金额和小写金额）；</w:t>
            </w:r>
          </w:p>
          <w:p w14:paraId="00A43846">
            <w:pPr>
              <w:rPr>
                <w:rFonts w:ascii="宋体" w:hAnsi="宋体" w:cs="宋体"/>
              </w:rPr>
            </w:pPr>
            <w:r>
              <w:rPr>
                <w:rFonts w:hint="eastAsia" w:ascii="宋体" w:hAnsi="宋体" w:cs="宋体"/>
              </w:rPr>
              <w:t>b.已标价工程量清单说明文字与招标文件规定一致，未进行实质性修改和删减；</w:t>
            </w:r>
          </w:p>
          <w:p w14:paraId="210E9C5F">
            <w:pPr>
              <w:rPr>
                <w:rFonts w:ascii="宋体" w:hAnsi="宋体" w:cs="宋体"/>
              </w:rPr>
            </w:pPr>
            <w:r>
              <w:rPr>
                <w:rFonts w:hint="eastAsia" w:ascii="宋体" w:hAnsi="宋体" w:cs="宋体"/>
              </w:rPr>
              <w:t>c.投标文件组成齐全完整，内容均按规定填写。</w:t>
            </w:r>
          </w:p>
          <w:p w14:paraId="0A5175AE">
            <w:pPr>
              <w:rPr>
                <w:rFonts w:ascii="宋体" w:hAnsi="宋体" w:cs="宋体"/>
              </w:rPr>
            </w:pPr>
            <w:r>
              <w:rPr>
                <w:rFonts w:hint="eastAsia" w:ascii="宋体" w:hAnsi="宋体" w:cs="宋体"/>
              </w:rPr>
              <w:t>（2）投标文件上法定代表人或其委托代理人的签字、投标人的单位章盖章齐全，符合招标文件规定。</w:t>
            </w:r>
          </w:p>
          <w:p w14:paraId="37A2F1C0">
            <w:pPr>
              <w:rPr>
                <w:rFonts w:ascii="宋体" w:hAnsi="宋体" w:cs="宋体"/>
              </w:rPr>
            </w:pPr>
            <w:r>
              <w:rPr>
                <w:rFonts w:hint="eastAsia" w:ascii="宋体" w:hAnsi="宋体" w:cs="宋体"/>
              </w:rPr>
              <w:t>（3）投标报价中报价未超过招标文件设定的最高投标限价（如有）。</w:t>
            </w:r>
          </w:p>
          <w:p w14:paraId="0A568AEA">
            <w:pPr>
              <w:rPr>
                <w:rFonts w:ascii="宋体" w:hAnsi="宋体" w:cs="宋体"/>
              </w:rPr>
            </w:pPr>
            <w:r>
              <w:rPr>
                <w:rFonts w:hint="eastAsia" w:ascii="宋体" w:hAnsi="宋体" w:cs="宋体"/>
              </w:rPr>
              <w:t>（4）投标报价中报价的大写金额能够确定具体数值。</w:t>
            </w:r>
          </w:p>
          <w:p w14:paraId="05C7139F">
            <w:pPr>
              <w:rPr>
                <w:rFonts w:ascii="宋体" w:hAnsi="宋体" w:cs="宋体"/>
              </w:rPr>
            </w:pPr>
            <w:r>
              <w:rPr>
                <w:rFonts w:hint="eastAsia" w:ascii="宋体" w:hAnsi="宋体" w:cs="宋体"/>
              </w:rPr>
              <w:t>（5）同一投标人未提交两个以上不同的投标报价，但招标文件要求提交备选投标的除外。</w:t>
            </w:r>
          </w:p>
          <w:p w14:paraId="0A0AE5DB">
            <w:pPr>
              <w:rPr>
                <w:rFonts w:ascii="宋体" w:hAnsi="宋体" w:cs="宋体"/>
              </w:rPr>
            </w:pPr>
            <w:r>
              <w:rPr>
                <w:rFonts w:hint="eastAsia" w:ascii="宋体" w:hAnsi="宋体" w:cs="宋体"/>
              </w:rPr>
              <w:t>（6）投标人填写完毕的工程量固化清单未对工程量固化清单电子文件中的数据、格式和运算定义进行修改；工程量固化清单中的投标报价和投标函大写金额报价一致。</w:t>
            </w:r>
          </w:p>
          <w:p w14:paraId="2460C4C5">
            <w:pPr>
              <w:rPr>
                <w:rFonts w:ascii="宋体" w:hAnsi="宋体" w:cs="宋体"/>
              </w:rPr>
            </w:pPr>
            <w:r>
              <w:rPr>
                <w:rFonts w:hint="eastAsia" w:ascii="宋体" w:hAnsi="宋体" w:cs="宋体"/>
              </w:rPr>
              <w:t>（7）投标文件正、副本份数符合招标文件第二章“投标人须知”第3.7.4项规定。</w:t>
            </w:r>
          </w:p>
        </w:tc>
      </w:tr>
      <w:tr w14:paraId="358A05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20" w:type="pct"/>
            <w:tcBorders>
              <w:top w:val="single" w:color="auto" w:sz="4" w:space="0"/>
              <w:bottom w:val="single" w:color="auto" w:sz="4" w:space="0"/>
              <w:right w:val="single" w:color="auto" w:sz="4" w:space="0"/>
            </w:tcBorders>
            <w:vAlign w:val="center"/>
          </w:tcPr>
          <w:p w14:paraId="7FACDA71">
            <w:pPr>
              <w:jc w:val="center"/>
              <w:rPr>
                <w:rFonts w:ascii="宋体" w:hAnsi="宋体" w:cs="宋体"/>
              </w:rPr>
            </w:pPr>
            <w:r>
              <w:rPr>
                <w:rFonts w:ascii="宋体" w:hAnsi="宋体"/>
              </w:rPr>
              <w:t>2.1.2</w:t>
            </w:r>
          </w:p>
        </w:tc>
        <w:tc>
          <w:tcPr>
            <w:tcW w:w="647" w:type="pct"/>
            <w:tcBorders>
              <w:top w:val="single" w:color="auto" w:sz="4" w:space="0"/>
              <w:right w:val="single" w:color="auto" w:sz="4" w:space="0"/>
            </w:tcBorders>
            <w:vAlign w:val="center"/>
          </w:tcPr>
          <w:p w14:paraId="216A707A">
            <w:pPr>
              <w:jc w:val="center"/>
              <w:rPr>
                <w:rFonts w:ascii="宋体" w:hAnsi="宋体" w:cs="宋体"/>
              </w:rPr>
            </w:pPr>
            <w:r>
              <w:rPr>
                <w:rFonts w:hint="eastAsia" w:ascii="宋体" w:hAnsi="宋体"/>
              </w:rPr>
              <w:t>资格评审标准</w:t>
            </w:r>
          </w:p>
        </w:tc>
        <w:tc>
          <w:tcPr>
            <w:tcW w:w="3832" w:type="pct"/>
            <w:tcBorders>
              <w:top w:val="single" w:color="auto" w:sz="4" w:space="0"/>
              <w:left w:val="single" w:color="auto" w:sz="4" w:space="0"/>
            </w:tcBorders>
            <w:vAlign w:val="center"/>
          </w:tcPr>
          <w:p w14:paraId="5BE740BC">
            <w:pPr>
              <w:rPr>
                <w:rFonts w:ascii="宋体" w:hAnsi="宋体" w:cs="宋体"/>
              </w:rPr>
            </w:pPr>
            <w:r>
              <w:rPr>
                <w:rFonts w:hint="eastAsia" w:ascii="宋体" w:hAnsi="宋体" w:cs="宋体"/>
              </w:rPr>
              <w:t>（1）资质条件：详见招标公告</w:t>
            </w:r>
          </w:p>
          <w:p w14:paraId="2992D514">
            <w:pPr>
              <w:rPr>
                <w:rFonts w:ascii="宋体" w:hAnsi="宋体" w:cs="宋体"/>
              </w:rPr>
            </w:pPr>
            <w:r>
              <w:rPr>
                <w:rFonts w:hint="eastAsia" w:ascii="宋体" w:hAnsi="宋体" w:cs="宋体"/>
              </w:rPr>
              <w:t>（2）信誉要求：详见招标公告</w:t>
            </w:r>
          </w:p>
          <w:p w14:paraId="05D87F31">
            <w:pPr>
              <w:rPr>
                <w:rFonts w:ascii="宋体" w:hAnsi="宋体" w:cs="宋体"/>
              </w:rPr>
            </w:pPr>
            <w:r>
              <w:rPr>
                <w:rFonts w:hint="eastAsia" w:ascii="宋体" w:hAnsi="宋体" w:cs="宋体"/>
              </w:rPr>
              <w:t>（3）项目经理资格：详见招标公告</w:t>
            </w:r>
          </w:p>
          <w:p w14:paraId="5BA50D4E">
            <w:pPr>
              <w:rPr>
                <w:rFonts w:ascii="宋体" w:hAnsi="宋体" w:cs="宋体"/>
              </w:rPr>
            </w:pPr>
            <w:r>
              <w:rPr>
                <w:rFonts w:hint="eastAsia" w:ascii="宋体" w:hAnsi="宋体" w:cs="宋体"/>
              </w:rPr>
              <w:t>（4）其他要求：详见招标公告</w:t>
            </w:r>
          </w:p>
        </w:tc>
      </w:tr>
    </w:tbl>
    <w:p w14:paraId="14093287">
      <w:pPr>
        <w:rPr>
          <w:rFonts w:ascii="宋体" w:hAnsi="宋体" w:cs="宋体"/>
        </w:rPr>
      </w:pPr>
    </w:p>
    <w:tbl>
      <w:tblPr>
        <w:tblStyle w:val="48"/>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2093"/>
        <w:gridCol w:w="1545"/>
        <w:gridCol w:w="5362"/>
      </w:tblGrid>
      <w:tr w14:paraId="102A2A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1163" w:type="pct"/>
            <w:tcBorders>
              <w:top w:val="single" w:color="auto" w:sz="4" w:space="0"/>
              <w:bottom w:val="single" w:color="auto" w:sz="4" w:space="0"/>
              <w:right w:val="single" w:color="auto" w:sz="4" w:space="0"/>
            </w:tcBorders>
            <w:vAlign w:val="center"/>
          </w:tcPr>
          <w:p w14:paraId="04E32BBC">
            <w:pPr>
              <w:jc w:val="center"/>
              <w:rPr>
                <w:rFonts w:ascii="宋体" w:hAnsi="宋体" w:cs="宋体"/>
                <w:b/>
              </w:rPr>
            </w:pPr>
            <w:r>
              <w:rPr>
                <w:rFonts w:hint="eastAsia" w:ascii="宋体" w:hAnsi="宋体" w:cs="宋体"/>
                <w:b/>
              </w:rPr>
              <w:t>条款号</w:t>
            </w:r>
          </w:p>
        </w:tc>
        <w:tc>
          <w:tcPr>
            <w:tcW w:w="858" w:type="pct"/>
            <w:tcBorders>
              <w:top w:val="single" w:color="auto" w:sz="4" w:space="0"/>
              <w:left w:val="single" w:color="auto" w:sz="4" w:space="0"/>
              <w:bottom w:val="single" w:color="auto" w:sz="4" w:space="0"/>
              <w:right w:val="single" w:color="auto" w:sz="4" w:space="0"/>
            </w:tcBorders>
            <w:vAlign w:val="center"/>
          </w:tcPr>
          <w:p w14:paraId="71190C4A">
            <w:pPr>
              <w:jc w:val="center"/>
              <w:rPr>
                <w:rFonts w:ascii="宋体" w:hAnsi="宋体" w:cs="宋体"/>
                <w:b/>
              </w:rPr>
            </w:pPr>
            <w:r>
              <w:rPr>
                <w:rFonts w:hint="eastAsia" w:ascii="宋体" w:hAnsi="宋体" w:cs="宋体"/>
                <w:b/>
              </w:rPr>
              <w:t>条款内容</w:t>
            </w:r>
          </w:p>
        </w:tc>
        <w:tc>
          <w:tcPr>
            <w:tcW w:w="2978" w:type="pct"/>
            <w:tcBorders>
              <w:top w:val="single" w:color="auto" w:sz="4" w:space="0"/>
              <w:left w:val="single" w:color="auto" w:sz="4" w:space="0"/>
              <w:bottom w:val="single" w:color="auto" w:sz="4" w:space="0"/>
            </w:tcBorders>
            <w:vAlign w:val="center"/>
          </w:tcPr>
          <w:p w14:paraId="3C4E90D5">
            <w:pPr>
              <w:jc w:val="center"/>
              <w:rPr>
                <w:rFonts w:ascii="宋体" w:hAnsi="宋体" w:cs="宋体"/>
                <w:b/>
              </w:rPr>
            </w:pPr>
            <w:r>
              <w:rPr>
                <w:rFonts w:hint="eastAsia" w:ascii="宋体" w:hAnsi="宋体" w:cs="宋体"/>
                <w:b/>
              </w:rPr>
              <w:t>编列内容</w:t>
            </w:r>
          </w:p>
        </w:tc>
      </w:tr>
      <w:tr w14:paraId="4BB3E5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163" w:type="pct"/>
            <w:tcBorders>
              <w:bottom w:val="single" w:color="auto" w:sz="4" w:space="0"/>
              <w:right w:val="single" w:color="auto" w:sz="4" w:space="0"/>
            </w:tcBorders>
            <w:vAlign w:val="center"/>
          </w:tcPr>
          <w:p w14:paraId="1C5CBE1A">
            <w:pPr>
              <w:jc w:val="center"/>
              <w:rPr>
                <w:rFonts w:ascii="宋体" w:hAnsi="宋体" w:cs="宋体"/>
              </w:rPr>
            </w:pPr>
            <w:r>
              <w:rPr>
                <w:rFonts w:hint="eastAsia" w:ascii="宋体" w:hAnsi="宋体" w:cs="宋体"/>
              </w:rPr>
              <w:t>2.2.1</w:t>
            </w:r>
          </w:p>
        </w:tc>
        <w:tc>
          <w:tcPr>
            <w:tcW w:w="858" w:type="pct"/>
            <w:tcBorders>
              <w:top w:val="single" w:color="auto" w:sz="4" w:space="0"/>
              <w:left w:val="single" w:color="auto" w:sz="4" w:space="0"/>
              <w:bottom w:val="single" w:color="auto" w:sz="4" w:space="0"/>
              <w:right w:val="single" w:color="auto" w:sz="4" w:space="0"/>
            </w:tcBorders>
            <w:vAlign w:val="center"/>
          </w:tcPr>
          <w:p w14:paraId="622D86BF">
            <w:pPr>
              <w:jc w:val="center"/>
              <w:rPr>
                <w:rFonts w:ascii="宋体" w:hAnsi="宋体" w:cs="宋体"/>
              </w:rPr>
            </w:pPr>
            <w:r>
              <w:rPr>
                <w:rFonts w:hint="eastAsia" w:ascii="宋体" w:hAnsi="宋体" w:cs="宋体"/>
              </w:rPr>
              <w:t>分值构成（总分100分）</w:t>
            </w:r>
          </w:p>
        </w:tc>
        <w:tc>
          <w:tcPr>
            <w:tcW w:w="2978" w:type="pct"/>
            <w:tcBorders>
              <w:top w:val="single" w:color="auto" w:sz="4" w:space="0"/>
              <w:left w:val="single" w:color="auto" w:sz="4" w:space="0"/>
              <w:bottom w:val="single" w:color="auto" w:sz="4" w:space="0"/>
            </w:tcBorders>
            <w:vAlign w:val="center"/>
          </w:tcPr>
          <w:p w14:paraId="3A6F1045">
            <w:pPr>
              <w:rPr>
                <w:rFonts w:ascii="宋体" w:hAnsi="宋体" w:cs="宋体"/>
              </w:rPr>
            </w:pPr>
            <w:r>
              <w:rPr>
                <w:rFonts w:hint="eastAsia" w:ascii="宋体" w:hAnsi="宋体" w:cs="宋体"/>
              </w:rPr>
              <w:t>评标价：100分</w:t>
            </w:r>
          </w:p>
        </w:tc>
      </w:tr>
      <w:tr w14:paraId="6679E9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0" w:hRule="atLeast"/>
        </w:trPr>
        <w:tc>
          <w:tcPr>
            <w:tcW w:w="1163" w:type="pct"/>
            <w:tcBorders>
              <w:top w:val="single" w:color="auto" w:sz="4" w:space="0"/>
              <w:right w:val="single" w:color="auto" w:sz="4" w:space="0"/>
            </w:tcBorders>
            <w:vAlign w:val="center"/>
          </w:tcPr>
          <w:p w14:paraId="1CB379BC">
            <w:pPr>
              <w:jc w:val="center"/>
              <w:rPr>
                <w:rFonts w:ascii="宋体" w:hAnsi="宋体" w:cs="宋体"/>
              </w:rPr>
            </w:pPr>
            <w:r>
              <w:rPr>
                <w:rFonts w:hint="eastAsia" w:ascii="宋体" w:hAnsi="宋体" w:cs="宋体"/>
              </w:rPr>
              <w:t>2.2.2</w:t>
            </w:r>
          </w:p>
        </w:tc>
        <w:tc>
          <w:tcPr>
            <w:tcW w:w="858" w:type="pct"/>
            <w:tcBorders>
              <w:top w:val="single" w:color="auto" w:sz="4" w:space="0"/>
              <w:left w:val="single" w:color="auto" w:sz="4" w:space="0"/>
              <w:right w:val="single" w:color="auto" w:sz="4" w:space="0"/>
            </w:tcBorders>
            <w:vAlign w:val="center"/>
          </w:tcPr>
          <w:p w14:paraId="0BDBE230">
            <w:pPr>
              <w:jc w:val="center"/>
              <w:rPr>
                <w:rFonts w:ascii="宋体" w:hAnsi="宋体" w:cs="宋体"/>
              </w:rPr>
            </w:pPr>
            <w:r>
              <w:rPr>
                <w:rFonts w:hint="eastAsia" w:ascii="宋体" w:hAnsi="宋体" w:cs="宋体"/>
              </w:rPr>
              <w:t>评标基准价</w:t>
            </w:r>
          </w:p>
          <w:p w14:paraId="61A3100B">
            <w:pPr>
              <w:jc w:val="center"/>
              <w:rPr>
                <w:rFonts w:ascii="宋体" w:hAnsi="宋体" w:cs="宋体"/>
                <w:b/>
              </w:rPr>
            </w:pPr>
            <w:r>
              <w:rPr>
                <w:rFonts w:hint="eastAsia" w:ascii="宋体" w:hAnsi="宋体" w:cs="宋体"/>
              </w:rPr>
              <w:t>计算方法</w:t>
            </w:r>
          </w:p>
        </w:tc>
        <w:tc>
          <w:tcPr>
            <w:tcW w:w="2978" w:type="pct"/>
            <w:tcBorders>
              <w:top w:val="single" w:color="auto" w:sz="4" w:space="0"/>
              <w:left w:val="single" w:color="auto" w:sz="4" w:space="0"/>
            </w:tcBorders>
            <w:vAlign w:val="center"/>
          </w:tcPr>
          <w:p w14:paraId="09D1EAB8">
            <w:pPr>
              <w:rPr>
                <w:rFonts w:ascii="宋体" w:hAnsi="宋体" w:cs="宋体"/>
              </w:rPr>
            </w:pPr>
            <w:r>
              <w:rPr>
                <w:rFonts w:hint="eastAsia" w:ascii="宋体" w:hAnsi="宋体" w:cs="宋体"/>
              </w:rPr>
              <w:t>评标基准价的计算：</w:t>
            </w:r>
          </w:p>
          <w:p w14:paraId="6748D524">
            <w:pPr>
              <w:rPr>
                <w:rFonts w:ascii="宋体" w:hAnsi="宋体" w:cs="宋体"/>
              </w:rPr>
            </w:pPr>
            <w:r>
              <w:rPr>
                <w:rFonts w:hint="eastAsia" w:ascii="宋体" w:hAnsi="宋体" w:cs="宋体"/>
              </w:rPr>
              <w:t>在开标现场，招标人将当场计算并宣布评标基准价。</w:t>
            </w:r>
          </w:p>
          <w:p w14:paraId="6546186A">
            <w:pPr>
              <w:rPr>
                <w:rFonts w:ascii="宋体" w:hAnsi="宋体" w:cs="宋体"/>
              </w:rPr>
            </w:pPr>
            <w:r>
              <w:rPr>
                <w:rFonts w:hint="eastAsia" w:ascii="宋体" w:hAnsi="宋体" w:cs="宋体"/>
              </w:rPr>
              <w:t>（1）评标价的确定：</w:t>
            </w:r>
          </w:p>
          <w:p w14:paraId="303B40C4">
            <w:pPr>
              <w:rPr>
                <w:rFonts w:ascii="宋体" w:hAnsi="宋体" w:cs="宋体"/>
              </w:rPr>
            </w:pPr>
            <w:r>
              <w:rPr>
                <w:rFonts w:hint="eastAsia" w:ascii="宋体" w:hAnsi="宋体" w:cs="宋体"/>
              </w:rPr>
              <w:t>评标价=投标函文字大写报价</w:t>
            </w:r>
          </w:p>
          <w:p w14:paraId="636FC496">
            <w:pPr>
              <w:rPr>
                <w:rFonts w:ascii="宋体" w:hAnsi="宋体" w:cs="宋体"/>
              </w:rPr>
            </w:pPr>
            <w:r>
              <w:rPr>
                <w:rFonts w:hint="eastAsia" w:ascii="宋体" w:hAnsi="宋体" w:cs="宋体"/>
              </w:rPr>
              <w:t>（2）评标价平均值的计算：</w:t>
            </w:r>
          </w:p>
          <w:p w14:paraId="753E7A0D">
            <w:pPr>
              <w:rPr>
                <w:rFonts w:ascii="宋体" w:hAnsi="宋体" w:cs="宋体"/>
              </w:rPr>
            </w:pPr>
            <w:r>
              <w:rPr>
                <w:rFonts w:hint="eastAsia" w:ascii="宋体" w:hAnsi="宋体" w:cs="宋体"/>
              </w:rPr>
              <w:t>除按第二章“投标人须知”第5.2款规定开标现场被宣布为否决投标的投标报价之外，</w:t>
            </w:r>
            <w:r>
              <w:rPr>
                <w:rFonts w:hint="eastAsia" w:ascii="宋体" w:hAnsi="宋体" w:cs="宋体"/>
                <w:b/>
                <w:bCs/>
              </w:rPr>
              <w:t>所有投标人的评标价的算术平均值即为评标价平均值</w:t>
            </w:r>
            <w:r>
              <w:rPr>
                <w:rFonts w:hint="eastAsia" w:ascii="宋体" w:hAnsi="宋体" w:cs="宋体"/>
              </w:rPr>
              <w:t>(五家或五家以上时去掉一个最高值和一个最低值)。</w:t>
            </w:r>
          </w:p>
          <w:p w14:paraId="1A92A9CF">
            <w:pPr>
              <w:rPr>
                <w:rFonts w:ascii="宋体" w:hAnsi="宋体" w:cs="宋体"/>
              </w:rPr>
            </w:pPr>
            <w:r>
              <w:rPr>
                <w:rFonts w:hint="eastAsia" w:ascii="宋体" w:hAnsi="宋体" w:cs="宋体"/>
              </w:rPr>
              <w:t>（3）评标基准价的确定：</w:t>
            </w:r>
          </w:p>
          <w:p w14:paraId="09C29B36">
            <w:pPr>
              <w:rPr>
                <w:rFonts w:ascii="宋体" w:hAnsi="宋体" w:cs="宋体"/>
                <w:b/>
                <w:bCs/>
              </w:rPr>
            </w:pPr>
            <w:r>
              <w:rPr>
                <w:rFonts w:hint="eastAsia" w:ascii="宋体" w:hAnsi="宋体" w:cs="宋体"/>
                <w:b/>
                <w:bCs/>
              </w:rPr>
              <w:t>评标价平均值作为评标基准价</w:t>
            </w:r>
          </w:p>
          <w:p w14:paraId="3097E7DF">
            <w:pPr>
              <w:rPr>
                <w:rFonts w:ascii="宋体" w:hAnsi="宋体" w:cs="宋体"/>
              </w:rPr>
            </w:pPr>
            <w:r>
              <w:rPr>
                <w:rFonts w:hint="eastAsia" w:ascii="宋体" w:hAnsi="宋体" w:cs="宋体"/>
              </w:rPr>
              <w:t>如果投标人认为评标基准价计算有误，有权在开标现场提出，经监标人当场核实确认之后，可重新宣布评标价基准价。确认后的评标基准价在整个评标期间保持不变，不随通过形式评审与响应性评审的投标人的数量发生变化，也不因招投标当事人质疑、投诉、复议以及其它任何情形（计算有误的除外）而改变其基准价的计算</w:t>
            </w:r>
          </w:p>
        </w:tc>
      </w:tr>
      <w:tr w14:paraId="511043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4" w:hRule="atLeast"/>
        </w:trPr>
        <w:tc>
          <w:tcPr>
            <w:tcW w:w="1163" w:type="pct"/>
            <w:tcBorders>
              <w:top w:val="single" w:color="auto" w:sz="4" w:space="0"/>
              <w:bottom w:val="single" w:color="auto" w:sz="4" w:space="0"/>
              <w:right w:val="single" w:color="auto" w:sz="4" w:space="0"/>
            </w:tcBorders>
            <w:vAlign w:val="center"/>
          </w:tcPr>
          <w:p w14:paraId="4FE5C336">
            <w:pPr>
              <w:jc w:val="center"/>
              <w:rPr>
                <w:rFonts w:ascii="宋体" w:hAnsi="宋体" w:cs="宋体"/>
              </w:rPr>
            </w:pPr>
            <w:r>
              <w:rPr>
                <w:rFonts w:hint="eastAsia" w:ascii="宋体" w:hAnsi="宋体" w:cs="宋体"/>
              </w:rPr>
              <w:t>2.2.3</w:t>
            </w:r>
          </w:p>
        </w:tc>
        <w:tc>
          <w:tcPr>
            <w:tcW w:w="858" w:type="pct"/>
            <w:tcBorders>
              <w:top w:val="single" w:color="auto" w:sz="4" w:space="0"/>
              <w:left w:val="single" w:color="auto" w:sz="4" w:space="0"/>
              <w:bottom w:val="single" w:color="auto" w:sz="4" w:space="0"/>
              <w:right w:val="single" w:color="auto" w:sz="4" w:space="0"/>
            </w:tcBorders>
            <w:vAlign w:val="center"/>
          </w:tcPr>
          <w:p w14:paraId="6D1A6F67">
            <w:pPr>
              <w:jc w:val="center"/>
              <w:rPr>
                <w:rFonts w:ascii="宋体" w:hAnsi="宋体" w:cs="宋体"/>
              </w:rPr>
            </w:pPr>
            <w:r>
              <w:rPr>
                <w:rFonts w:hint="eastAsia" w:ascii="宋体" w:hAnsi="宋体" w:cs="宋体"/>
              </w:rPr>
              <w:t>评标价的偏差率计算公式</w:t>
            </w:r>
          </w:p>
        </w:tc>
        <w:tc>
          <w:tcPr>
            <w:tcW w:w="2978" w:type="pct"/>
            <w:tcBorders>
              <w:top w:val="single" w:color="auto" w:sz="4" w:space="0"/>
              <w:left w:val="single" w:color="auto" w:sz="4" w:space="0"/>
              <w:bottom w:val="single" w:color="auto" w:sz="4" w:space="0"/>
            </w:tcBorders>
            <w:vAlign w:val="center"/>
          </w:tcPr>
          <w:p w14:paraId="3E16EBB7">
            <w:pPr>
              <w:rPr>
                <w:rFonts w:ascii="宋体" w:hAnsi="宋体" w:cs="宋体"/>
              </w:rPr>
            </w:pPr>
            <w:r>
              <w:rPr>
                <w:rFonts w:hint="eastAsia" w:ascii="宋体" w:hAnsi="宋体" w:cs="宋体"/>
              </w:rPr>
              <w:t>偏差率=100% ×（投标人评标价－评标基准价）/评标基准价</w:t>
            </w:r>
          </w:p>
        </w:tc>
      </w:tr>
      <w:tr w14:paraId="2E9BD0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63" w:type="pct"/>
            <w:tcBorders>
              <w:top w:val="single" w:color="auto" w:sz="4" w:space="0"/>
              <w:bottom w:val="single" w:color="auto" w:sz="4" w:space="0"/>
              <w:right w:val="single" w:color="auto" w:sz="4" w:space="0"/>
            </w:tcBorders>
            <w:vAlign w:val="center"/>
          </w:tcPr>
          <w:p w14:paraId="04A9388D">
            <w:pPr>
              <w:jc w:val="center"/>
              <w:rPr>
                <w:rFonts w:ascii="宋体" w:hAnsi="宋体" w:cs="宋体"/>
              </w:rPr>
            </w:pPr>
            <w:r>
              <w:rPr>
                <w:rFonts w:hint="eastAsia" w:ascii="宋体" w:hAnsi="宋体" w:cs="宋体"/>
              </w:rPr>
              <w:t>2.2.4</w:t>
            </w:r>
          </w:p>
        </w:tc>
        <w:tc>
          <w:tcPr>
            <w:tcW w:w="858" w:type="pct"/>
            <w:tcBorders>
              <w:top w:val="single" w:color="auto" w:sz="4" w:space="0"/>
              <w:left w:val="single" w:color="auto" w:sz="4" w:space="0"/>
              <w:right w:val="single" w:color="auto" w:sz="4" w:space="0"/>
            </w:tcBorders>
            <w:vAlign w:val="center"/>
          </w:tcPr>
          <w:p w14:paraId="467A9EA4">
            <w:pPr>
              <w:jc w:val="center"/>
              <w:rPr>
                <w:rFonts w:ascii="宋体" w:hAnsi="宋体" w:cs="宋体"/>
              </w:rPr>
            </w:pPr>
            <w:r>
              <w:rPr>
                <w:rFonts w:hint="eastAsia" w:ascii="宋体" w:hAnsi="宋体" w:cs="宋体"/>
              </w:rPr>
              <w:t>评标价</w:t>
            </w:r>
          </w:p>
        </w:tc>
        <w:tc>
          <w:tcPr>
            <w:tcW w:w="2978" w:type="pct"/>
            <w:tcBorders>
              <w:top w:val="single" w:color="auto" w:sz="4" w:space="0"/>
              <w:left w:val="single" w:color="auto" w:sz="4" w:space="0"/>
            </w:tcBorders>
          </w:tcPr>
          <w:p w14:paraId="3513F3F6">
            <w:pPr>
              <w:rPr>
                <w:rFonts w:ascii="宋体" w:hAnsi="宋体" w:cs="宋体"/>
              </w:rPr>
            </w:pPr>
            <w:r>
              <w:rPr>
                <w:rFonts w:hint="eastAsia" w:ascii="宋体" w:hAnsi="宋体" w:cs="宋体"/>
              </w:rPr>
              <w:t>满分</w:t>
            </w:r>
            <w:r>
              <w:rPr>
                <w:rFonts w:hint="eastAsia" w:ascii="宋体" w:hAnsi="宋体" w:cs="宋体"/>
                <w:u w:val="single"/>
              </w:rPr>
              <w:t>100</w:t>
            </w:r>
            <w:r>
              <w:rPr>
                <w:rFonts w:hint="eastAsia" w:ascii="宋体" w:hAnsi="宋体" w:cs="宋体"/>
              </w:rPr>
              <w:t>分</w:t>
            </w:r>
          </w:p>
          <w:p w14:paraId="18D7AA25">
            <w:pPr>
              <w:rPr>
                <w:rFonts w:ascii="宋体" w:hAnsi="宋体" w:cs="宋体"/>
              </w:rPr>
            </w:pPr>
            <w:r>
              <w:rPr>
                <w:rFonts w:hint="eastAsia" w:ascii="宋体" w:hAnsi="宋体" w:cs="宋体"/>
              </w:rPr>
              <w:t>评标价得分计算公式示例：</w:t>
            </w:r>
          </w:p>
          <w:p w14:paraId="61F4CD41">
            <w:pPr>
              <w:rPr>
                <w:rFonts w:ascii="宋体" w:hAnsi="宋体" w:cs="宋体"/>
              </w:rPr>
            </w:pPr>
            <w:r>
              <w:rPr>
                <w:rFonts w:hint="eastAsia" w:ascii="宋体" w:hAnsi="宋体" w:cs="宋体"/>
              </w:rPr>
              <w:t>（1）如果投标人的评标价&gt;评标基准价，则评标价得分＝</w:t>
            </w:r>
            <w:r>
              <w:rPr>
                <w:rFonts w:hint="eastAsia" w:ascii="宋体" w:hAnsi="宋体" w:cs="宋体"/>
                <w:u w:val="single"/>
              </w:rPr>
              <w:t>100</w:t>
            </w:r>
            <w:r>
              <w:rPr>
                <w:rFonts w:hint="eastAsia" w:ascii="宋体" w:hAnsi="宋体" w:cs="宋体"/>
              </w:rPr>
              <w:t>－偏差率×100×E</w:t>
            </w:r>
            <w:r>
              <w:rPr>
                <w:rFonts w:hint="eastAsia" w:ascii="宋体" w:hAnsi="宋体" w:cs="宋体"/>
                <w:vertAlign w:val="subscript"/>
              </w:rPr>
              <w:t>1</w:t>
            </w:r>
            <w:r>
              <w:rPr>
                <w:rFonts w:hint="eastAsia" w:ascii="宋体" w:hAnsi="宋体" w:cs="宋体"/>
              </w:rPr>
              <w:t>；</w:t>
            </w:r>
          </w:p>
          <w:p w14:paraId="398EA4A7">
            <w:pPr>
              <w:rPr>
                <w:rFonts w:ascii="宋体" w:hAnsi="宋体" w:cs="宋体"/>
              </w:rPr>
            </w:pPr>
            <w:r>
              <w:rPr>
                <w:rFonts w:hint="eastAsia" w:ascii="宋体" w:hAnsi="宋体" w:cs="宋体"/>
              </w:rPr>
              <w:t>（2）如果投标人的评标价≤评标基准价，则评标价得分＝</w:t>
            </w:r>
            <w:r>
              <w:rPr>
                <w:rFonts w:hint="eastAsia" w:ascii="宋体" w:hAnsi="宋体" w:cs="宋体"/>
                <w:u w:val="single"/>
              </w:rPr>
              <w:t>100</w:t>
            </w:r>
            <w:r>
              <w:rPr>
                <w:rFonts w:hint="eastAsia" w:ascii="宋体" w:hAnsi="宋体" w:cs="宋体"/>
              </w:rPr>
              <w:t>＋偏差率×100×E</w:t>
            </w:r>
            <w:r>
              <w:rPr>
                <w:rFonts w:hint="eastAsia" w:ascii="宋体" w:hAnsi="宋体" w:cs="宋体"/>
                <w:vertAlign w:val="subscript"/>
              </w:rPr>
              <w:t>2</w:t>
            </w:r>
            <w:r>
              <w:rPr>
                <w:rFonts w:hint="eastAsia" w:ascii="宋体" w:hAnsi="宋体" w:cs="宋体"/>
              </w:rPr>
              <w:t>。</w:t>
            </w:r>
          </w:p>
          <w:p w14:paraId="00CF1A8B">
            <w:pPr>
              <w:rPr>
                <w:rFonts w:ascii="宋体" w:hAnsi="宋体" w:cs="宋体"/>
              </w:rPr>
            </w:pPr>
            <w:r>
              <w:rPr>
                <w:rFonts w:hint="eastAsia" w:ascii="宋体" w:hAnsi="宋体" w:cs="宋体"/>
              </w:rPr>
              <w:t>其中：E</w:t>
            </w:r>
            <w:r>
              <w:rPr>
                <w:rFonts w:hint="eastAsia" w:ascii="宋体" w:hAnsi="宋体" w:cs="宋体"/>
                <w:vertAlign w:val="subscript"/>
              </w:rPr>
              <w:t>1</w:t>
            </w:r>
            <w:r>
              <w:rPr>
                <w:rFonts w:hint="eastAsia" w:ascii="宋体" w:hAnsi="宋体" w:cs="宋体"/>
              </w:rPr>
              <w:t>是评标价每高于评标基准价一个百分点的扣分值，E</w:t>
            </w:r>
            <w:r>
              <w:rPr>
                <w:rFonts w:hint="eastAsia" w:ascii="宋体" w:hAnsi="宋体" w:cs="宋体"/>
                <w:vertAlign w:val="subscript"/>
              </w:rPr>
              <w:t>1</w:t>
            </w:r>
            <w:r>
              <w:rPr>
                <w:rFonts w:hint="eastAsia" w:ascii="宋体" w:hAnsi="宋体" w:cs="宋体"/>
              </w:rPr>
              <w:t>=2；</w:t>
            </w:r>
          </w:p>
          <w:p w14:paraId="540FF827">
            <w:pPr>
              <w:rPr>
                <w:rFonts w:ascii="宋体" w:hAnsi="宋体" w:cs="宋体"/>
              </w:rPr>
            </w:pPr>
            <w:r>
              <w:rPr>
                <w:rFonts w:hint="eastAsia" w:ascii="宋体" w:hAnsi="宋体" w:cs="宋体"/>
              </w:rPr>
              <w:t>E</w:t>
            </w:r>
            <w:r>
              <w:rPr>
                <w:rFonts w:hint="eastAsia" w:ascii="宋体" w:hAnsi="宋体" w:cs="宋体"/>
                <w:vertAlign w:val="subscript"/>
              </w:rPr>
              <w:t>2</w:t>
            </w:r>
            <w:r>
              <w:rPr>
                <w:rFonts w:hint="eastAsia" w:ascii="宋体" w:hAnsi="宋体" w:cs="宋体"/>
              </w:rPr>
              <w:t>是评标价每低于标基准价一个百分点的扣分值，E</w:t>
            </w:r>
            <w:r>
              <w:rPr>
                <w:rFonts w:hint="eastAsia" w:ascii="宋体" w:hAnsi="宋体" w:cs="宋体"/>
                <w:vertAlign w:val="subscript"/>
              </w:rPr>
              <w:t>2</w:t>
            </w:r>
            <w:r>
              <w:rPr>
                <w:rFonts w:hint="eastAsia" w:ascii="宋体" w:hAnsi="宋体" w:cs="宋体"/>
              </w:rPr>
              <w:t>=1。</w:t>
            </w:r>
          </w:p>
        </w:tc>
      </w:tr>
    </w:tbl>
    <w:p w14:paraId="761023B8">
      <w:pPr>
        <w:widowControl/>
        <w:jc w:val="left"/>
        <w:rPr>
          <w:rFonts w:ascii="宋体"/>
        </w:rPr>
        <w:sectPr>
          <w:footerReference r:id="rId4" w:type="default"/>
          <w:pgSz w:w="11906" w:h="16838"/>
          <w:pgMar w:top="1389" w:right="1474" w:bottom="1389" w:left="1644" w:header="851" w:footer="992" w:gutter="0"/>
          <w:cols w:space="720" w:num="1"/>
        </w:sectPr>
      </w:pPr>
    </w:p>
    <w:p w14:paraId="06D65145">
      <w:pPr>
        <w:spacing w:line="360" w:lineRule="auto"/>
        <w:ind w:firstLine="420" w:firstLineChars="200"/>
        <w:rPr>
          <w:rFonts w:ascii="宋体" w:hAnsi="宋体" w:cs="宋体"/>
          <w:color w:val="000000" w:themeColor="text1"/>
        </w:rPr>
      </w:pPr>
      <w:r>
        <w:rPr>
          <w:rFonts w:hint="eastAsia" w:ascii="宋体" w:hAnsi="宋体" w:cs="宋体"/>
          <w:color w:val="000000" w:themeColor="text1"/>
        </w:rPr>
        <w:t>1. 评标方法</w:t>
      </w:r>
    </w:p>
    <w:p w14:paraId="727337DA">
      <w:pPr>
        <w:spacing w:line="360" w:lineRule="auto"/>
        <w:ind w:firstLine="420" w:firstLineChars="200"/>
        <w:rPr>
          <w:rFonts w:ascii="宋体" w:hAnsi="宋体" w:cs="宋体"/>
          <w:color w:val="000000" w:themeColor="text1"/>
        </w:rPr>
      </w:pPr>
      <w:r>
        <w:rPr>
          <w:rFonts w:hint="eastAsia" w:ascii="宋体" w:hAnsi="宋体" w:cs="宋体"/>
          <w:color w:val="000000" w:themeColor="text1"/>
        </w:rPr>
        <w:t>本次评标采用合理低价法。评标委员会对满足招标文件实质性要求的投标文件，按照本章第2.2款规定的评分标准进行打分，并按得分由高到低顺序推荐中标候选人，或根据招标人授权直接确定中标人，但投标报价低于其成本的除外。综合评分相等时，评标委员会应按照评标办法前附表规定的优先次序推荐中标候选人或确定中标人。</w:t>
      </w:r>
    </w:p>
    <w:p w14:paraId="2E481669">
      <w:pPr>
        <w:spacing w:line="360" w:lineRule="auto"/>
        <w:ind w:firstLine="420" w:firstLineChars="200"/>
        <w:rPr>
          <w:rFonts w:ascii="宋体" w:hAnsi="宋体" w:cs="宋体"/>
          <w:color w:val="000000" w:themeColor="text1"/>
        </w:rPr>
      </w:pPr>
      <w:r>
        <w:rPr>
          <w:rFonts w:hint="eastAsia" w:ascii="宋体" w:hAnsi="宋体" w:cs="宋体"/>
          <w:color w:val="000000" w:themeColor="text1"/>
        </w:rPr>
        <w:t>2. 评审标准</w:t>
      </w:r>
    </w:p>
    <w:p w14:paraId="1766446B">
      <w:pPr>
        <w:spacing w:line="360" w:lineRule="auto"/>
        <w:ind w:firstLine="420" w:firstLineChars="200"/>
        <w:rPr>
          <w:rFonts w:ascii="宋体" w:hAnsi="宋体" w:cs="宋体"/>
          <w:color w:val="000000" w:themeColor="text1"/>
        </w:rPr>
      </w:pPr>
      <w:r>
        <w:rPr>
          <w:rFonts w:hint="eastAsia" w:ascii="宋体" w:hAnsi="宋体" w:cs="宋体"/>
          <w:color w:val="000000" w:themeColor="text1"/>
        </w:rPr>
        <w:t>2.1 初步评审标准</w:t>
      </w:r>
    </w:p>
    <w:p w14:paraId="2F6FF652">
      <w:pPr>
        <w:spacing w:line="360" w:lineRule="auto"/>
        <w:ind w:firstLine="420" w:firstLineChars="200"/>
        <w:rPr>
          <w:rFonts w:ascii="宋体" w:hAnsi="宋体" w:cs="宋体"/>
          <w:color w:val="000000" w:themeColor="text1"/>
        </w:rPr>
      </w:pPr>
      <w:r>
        <w:rPr>
          <w:rFonts w:hint="eastAsia" w:ascii="宋体" w:hAnsi="宋体" w:cs="宋体"/>
          <w:color w:val="000000" w:themeColor="text1"/>
        </w:rPr>
        <w:t>2.1.1 形式评审标准：见评标办法前附表。</w:t>
      </w:r>
    </w:p>
    <w:p w14:paraId="0F26E99C">
      <w:pPr>
        <w:spacing w:line="360" w:lineRule="auto"/>
        <w:ind w:firstLine="420" w:firstLineChars="200"/>
        <w:rPr>
          <w:rFonts w:ascii="宋体" w:hAnsi="宋体" w:cs="宋体"/>
          <w:color w:val="000000" w:themeColor="text1"/>
        </w:rPr>
      </w:pPr>
      <w:r>
        <w:rPr>
          <w:rFonts w:hint="eastAsia" w:ascii="宋体" w:hAnsi="宋体" w:cs="宋体"/>
          <w:color w:val="000000" w:themeColor="text1"/>
        </w:rPr>
        <w:t>2.1.2 资格评审标准：见评标办法前附表。</w:t>
      </w:r>
    </w:p>
    <w:p w14:paraId="69D93569">
      <w:pPr>
        <w:spacing w:line="360" w:lineRule="auto"/>
        <w:ind w:firstLine="420" w:firstLineChars="200"/>
        <w:rPr>
          <w:rFonts w:ascii="宋体" w:hAnsi="宋体" w:cs="宋体"/>
          <w:color w:val="000000" w:themeColor="text1"/>
        </w:rPr>
      </w:pPr>
      <w:r>
        <w:rPr>
          <w:rFonts w:hint="eastAsia" w:ascii="宋体" w:hAnsi="宋体" w:cs="宋体"/>
          <w:color w:val="000000" w:themeColor="text1"/>
        </w:rPr>
        <w:t>2.1.3 响应性评审标准：见评标办法前附表。</w:t>
      </w:r>
    </w:p>
    <w:p w14:paraId="6771ED45">
      <w:pPr>
        <w:spacing w:line="360" w:lineRule="auto"/>
        <w:ind w:firstLine="420" w:firstLineChars="200"/>
        <w:rPr>
          <w:rFonts w:ascii="宋体" w:hAnsi="宋体" w:cs="宋体"/>
          <w:color w:val="000000" w:themeColor="text1"/>
        </w:rPr>
      </w:pPr>
      <w:r>
        <w:rPr>
          <w:rFonts w:hint="eastAsia" w:ascii="宋体" w:hAnsi="宋体" w:cs="宋体"/>
          <w:color w:val="000000" w:themeColor="text1"/>
        </w:rPr>
        <w:t>2.2 分值构成与评分标准</w:t>
      </w:r>
    </w:p>
    <w:p w14:paraId="101C958E">
      <w:pPr>
        <w:spacing w:line="360" w:lineRule="auto"/>
        <w:ind w:firstLine="420" w:firstLineChars="200"/>
        <w:rPr>
          <w:rFonts w:ascii="宋体" w:hAnsi="宋体" w:cs="宋体"/>
          <w:color w:val="000000" w:themeColor="text1"/>
        </w:rPr>
      </w:pPr>
      <w:r>
        <w:rPr>
          <w:rFonts w:hint="eastAsia" w:ascii="宋体" w:hAnsi="宋体" w:cs="宋体"/>
          <w:color w:val="000000" w:themeColor="text1"/>
        </w:rPr>
        <w:t>2.2.1 分值构成</w:t>
      </w:r>
    </w:p>
    <w:p w14:paraId="22A8089F">
      <w:pPr>
        <w:spacing w:line="360" w:lineRule="auto"/>
        <w:ind w:firstLine="420" w:firstLineChars="200"/>
        <w:rPr>
          <w:rFonts w:ascii="宋体" w:hAnsi="宋体" w:cs="宋体"/>
          <w:color w:val="000000" w:themeColor="text1"/>
        </w:rPr>
      </w:pPr>
      <w:r>
        <w:rPr>
          <w:rFonts w:hint="eastAsia" w:ascii="宋体" w:hAnsi="宋体" w:cs="宋体"/>
          <w:color w:val="000000" w:themeColor="text1"/>
        </w:rPr>
        <w:t>评标价：见评标办法前附表。</w:t>
      </w:r>
    </w:p>
    <w:p w14:paraId="65DD3AB8">
      <w:pPr>
        <w:spacing w:line="360" w:lineRule="auto"/>
        <w:ind w:firstLine="420" w:firstLineChars="200"/>
        <w:rPr>
          <w:rFonts w:ascii="宋体" w:hAnsi="宋体" w:cs="宋体"/>
          <w:color w:val="000000" w:themeColor="text1"/>
        </w:rPr>
      </w:pPr>
      <w:r>
        <w:rPr>
          <w:rFonts w:hint="eastAsia" w:ascii="宋体" w:hAnsi="宋体" w:cs="宋体"/>
          <w:color w:val="000000" w:themeColor="text1"/>
        </w:rPr>
        <w:t>2.2.2 评标基准价计算</w:t>
      </w:r>
    </w:p>
    <w:p w14:paraId="0D7F2C23">
      <w:pPr>
        <w:spacing w:line="360" w:lineRule="auto"/>
        <w:ind w:firstLine="420" w:firstLineChars="200"/>
        <w:rPr>
          <w:rFonts w:ascii="宋体" w:hAnsi="宋体" w:cs="宋体"/>
          <w:color w:val="000000" w:themeColor="text1"/>
        </w:rPr>
      </w:pPr>
      <w:r>
        <w:rPr>
          <w:rFonts w:hint="eastAsia" w:ascii="宋体" w:hAnsi="宋体" w:cs="宋体"/>
          <w:color w:val="000000" w:themeColor="text1"/>
        </w:rPr>
        <w:t>评标基准价计算方法：见评标办法前附表。计算结果保留小数点后两位，小数点后第三位“四舍五入”。</w:t>
      </w:r>
    </w:p>
    <w:p w14:paraId="6B54FF4E">
      <w:pPr>
        <w:spacing w:line="360" w:lineRule="auto"/>
        <w:ind w:firstLine="420" w:firstLineChars="200"/>
        <w:rPr>
          <w:rFonts w:ascii="宋体" w:hAnsi="宋体" w:cs="宋体"/>
          <w:color w:val="000000" w:themeColor="text1"/>
        </w:rPr>
      </w:pPr>
      <w:r>
        <w:rPr>
          <w:rFonts w:hint="eastAsia" w:ascii="宋体" w:hAnsi="宋体" w:cs="宋体"/>
          <w:color w:val="000000" w:themeColor="text1"/>
        </w:rPr>
        <w:t>2.2.3 评标价的偏差率计算</w:t>
      </w:r>
    </w:p>
    <w:p w14:paraId="4FAB2EEE">
      <w:pPr>
        <w:spacing w:line="360" w:lineRule="auto"/>
        <w:ind w:firstLine="420" w:firstLineChars="200"/>
        <w:rPr>
          <w:rFonts w:ascii="宋体" w:hAnsi="宋体" w:cs="宋体"/>
          <w:color w:val="000000" w:themeColor="text1"/>
        </w:rPr>
      </w:pPr>
      <w:r>
        <w:rPr>
          <w:rFonts w:hint="eastAsia" w:ascii="宋体" w:hAnsi="宋体" w:cs="宋体"/>
          <w:color w:val="000000" w:themeColor="text1"/>
        </w:rPr>
        <w:t>评标价的偏差率计算公式：见评标办法前附表。</w:t>
      </w:r>
    </w:p>
    <w:p w14:paraId="07CFC6F3">
      <w:pPr>
        <w:spacing w:line="360" w:lineRule="auto"/>
        <w:ind w:firstLine="420" w:firstLineChars="200"/>
        <w:rPr>
          <w:rFonts w:ascii="宋体" w:hAnsi="宋体" w:cs="宋体"/>
          <w:color w:val="000000" w:themeColor="text1"/>
        </w:rPr>
      </w:pPr>
      <w:r>
        <w:rPr>
          <w:rFonts w:hint="eastAsia" w:ascii="宋体" w:hAnsi="宋体" w:cs="宋体"/>
          <w:color w:val="000000" w:themeColor="text1"/>
        </w:rPr>
        <w:t>2.2.4 评分标准</w:t>
      </w:r>
    </w:p>
    <w:p w14:paraId="54FDFB6E">
      <w:pPr>
        <w:spacing w:line="360" w:lineRule="auto"/>
        <w:ind w:firstLine="420" w:firstLineChars="200"/>
        <w:rPr>
          <w:rFonts w:ascii="宋体" w:hAnsi="宋体" w:cs="宋体"/>
          <w:color w:val="000000" w:themeColor="text1"/>
        </w:rPr>
      </w:pPr>
      <w:r>
        <w:rPr>
          <w:rFonts w:hint="eastAsia" w:ascii="宋体" w:hAnsi="宋体" w:cs="宋体"/>
          <w:color w:val="000000" w:themeColor="text1"/>
        </w:rPr>
        <w:t>评标价评分标准：见评标办法前附表。</w:t>
      </w:r>
    </w:p>
    <w:p w14:paraId="6A7E106F">
      <w:pPr>
        <w:spacing w:line="360" w:lineRule="auto"/>
        <w:ind w:firstLine="420" w:firstLineChars="200"/>
        <w:rPr>
          <w:rFonts w:ascii="宋体" w:hAnsi="宋体" w:cs="宋体"/>
          <w:color w:val="000000" w:themeColor="text1"/>
        </w:rPr>
      </w:pPr>
      <w:r>
        <w:rPr>
          <w:rFonts w:hint="eastAsia" w:ascii="宋体" w:hAnsi="宋体" w:cs="宋体"/>
          <w:color w:val="000000" w:themeColor="text1"/>
        </w:rPr>
        <w:t>3. 评标程序</w:t>
      </w:r>
    </w:p>
    <w:p w14:paraId="5625BD6A">
      <w:pPr>
        <w:spacing w:line="360" w:lineRule="auto"/>
        <w:ind w:firstLine="420" w:firstLineChars="200"/>
        <w:rPr>
          <w:rFonts w:ascii="宋体" w:hAnsi="宋体" w:cs="宋体"/>
          <w:color w:val="000000" w:themeColor="text1"/>
        </w:rPr>
      </w:pPr>
      <w:r>
        <w:rPr>
          <w:rFonts w:hint="eastAsia" w:ascii="宋体" w:hAnsi="宋体" w:cs="宋体"/>
          <w:color w:val="000000" w:themeColor="text1"/>
        </w:rPr>
        <w:t>3.1 第一个信封初步评审</w:t>
      </w:r>
    </w:p>
    <w:p w14:paraId="748330C6">
      <w:pPr>
        <w:spacing w:line="360" w:lineRule="auto"/>
        <w:ind w:firstLine="420" w:firstLineChars="200"/>
        <w:rPr>
          <w:rFonts w:ascii="宋体" w:hAnsi="宋体" w:cs="宋体"/>
          <w:color w:val="000000" w:themeColor="text1"/>
        </w:rPr>
      </w:pPr>
      <w:r>
        <w:rPr>
          <w:rFonts w:hint="eastAsia" w:ascii="宋体" w:hAnsi="宋体" w:cs="宋体"/>
          <w:color w:val="000000" w:themeColor="text1"/>
        </w:rPr>
        <w:t>3.1.1 评标委员会可以要求投标人提交第二章“投标人须知”第3.5.1项至第3.5.6项规定的有关证明和证件的原件，以便核验。评标委员会依据本章第2.1款规定的标准对投标文件第一个信封（商务文件）进行初步评审。有一项不符合评审标准的，评标委员会应否决其投标。</w:t>
      </w:r>
    </w:p>
    <w:p w14:paraId="00CD2B2A">
      <w:pPr>
        <w:spacing w:line="360" w:lineRule="auto"/>
        <w:ind w:firstLine="420" w:firstLineChars="200"/>
        <w:rPr>
          <w:rFonts w:ascii="宋体" w:hAnsi="宋体" w:cs="宋体"/>
          <w:color w:val="000000" w:themeColor="text1"/>
        </w:rPr>
      </w:pPr>
      <w:r>
        <w:rPr>
          <w:rFonts w:hint="eastAsia" w:ascii="宋体" w:hAnsi="宋体" w:cs="宋体"/>
          <w:color w:val="000000" w:themeColor="text1"/>
        </w:rPr>
        <w:t>3.2 第二个信封开标</w:t>
      </w:r>
    </w:p>
    <w:p w14:paraId="5A1CBAB6">
      <w:pPr>
        <w:spacing w:line="360" w:lineRule="auto"/>
        <w:ind w:firstLine="420" w:firstLineChars="200"/>
        <w:rPr>
          <w:rFonts w:ascii="宋体" w:hAnsi="宋体" w:cs="宋体"/>
          <w:color w:val="000000" w:themeColor="text1"/>
        </w:rPr>
      </w:pPr>
      <w:r>
        <w:rPr>
          <w:rFonts w:hint="eastAsia" w:ascii="宋体" w:hAnsi="宋体" w:cs="宋体"/>
          <w:color w:val="000000" w:themeColor="text1"/>
        </w:rPr>
        <w:t>第一个信封（商务文件）评审结束后，招标人将按照第二章“投标人须知”第5.1款规定的时间和地点对通过投标文件第一个信封（商务文件）评审的所有投标文件第二个信封（报价文件）进行开标。</w:t>
      </w:r>
    </w:p>
    <w:p w14:paraId="5A50DF26">
      <w:pPr>
        <w:spacing w:line="360" w:lineRule="auto"/>
        <w:ind w:firstLine="420" w:firstLineChars="200"/>
        <w:rPr>
          <w:rFonts w:ascii="宋体" w:hAnsi="宋体" w:cs="宋体"/>
          <w:color w:val="000000" w:themeColor="text1"/>
        </w:rPr>
      </w:pPr>
      <w:r>
        <w:rPr>
          <w:rFonts w:hint="eastAsia" w:ascii="宋体" w:hAnsi="宋体" w:cs="宋体"/>
          <w:color w:val="000000" w:themeColor="text1"/>
        </w:rPr>
        <w:t>3.3 第二个信封初步评审</w:t>
      </w:r>
    </w:p>
    <w:p w14:paraId="49D2129A">
      <w:pPr>
        <w:spacing w:line="360" w:lineRule="auto"/>
        <w:ind w:firstLine="420" w:firstLineChars="200"/>
        <w:rPr>
          <w:rFonts w:ascii="宋体" w:hAnsi="宋体" w:cs="宋体"/>
          <w:color w:val="000000" w:themeColor="text1"/>
        </w:rPr>
      </w:pPr>
      <w:r>
        <w:rPr>
          <w:rFonts w:hint="eastAsia" w:ascii="宋体" w:hAnsi="宋体" w:cs="宋体"/>
          <w:color w:val="000000" w:themeColor="text1"/>
        </w:rPr>
        <w:t>3.3.1 评标委员会依据本章第2.1.1项、第2.1.3项规定的评审标准对投标文件第二个信封（报价文件）进行初步评审。有一项不符合评审标准的，评标委员会应否决其投标。</w:t>
      </w:r>
    </w:p>
    <w:p w14:paraId="792DFE3B">
      <w:pPr>
        <w:spacing w:line="360" w:lineRule="auto"/>
        <w:ind w:firstLine="420" w:firstLineChars="200"/>
        <w:rPr>
          <w:rFonts w:ascii="宋体" w:hAnsi="宋体" w:cs="宋体"/>
          <w:color w:val="000000" w:themeColor="text1"/>
        </w:rPr>
      </w:pPr>
      <w:r>
        <w:rPr>
          <w:rFonts w:hint="eastAsia" w:ascii="宋体" w:hAnsi="宋体" w:cs="宋体"/>
          <w:color w:val="000000" w:themeColor="text1"/>
        </w:rPr>
        <w:t>3.4 第二个信封详细评审</w:t>
      </w:r>
    </w:p>
    <w:p w14:paraId="5329EA86">
      <w:pPr>
        <w:spacing w:line="360" w:lineRule="auto"/>
        <w:ind w:firstLine="420" w:firstLineChars="200"/>
        <w:rPr>
          <w:rFonts w:ascii="宋体" w:hAnsi="宋体" w:cs="宋体"/>
          <w:color w:val="000000" w:themeColor="text1"/>
        </w:rPr>
      </w:pPr>
      <w:r>
        <w:rPr>
          <w:rFonts w:hint="eastAsia" w:ascii="宋体" w:hAnsi="宋体" w:cs="宋体"/>
          <w:color w:val="000000" w:themeColor="text1"/>
        </w:rPr>
        <w:t>3.4.1 评标委员会按本章第2.2款规定的量化因素和分值进行打分，并计算出综合评估得分（即评标价得分与履约信誉得分之和）。</w:t>
      </w:r>
    </w:p>
    <w:p w14:paraId="7D78FAD2">
      <w:pPr>
        <w:spacing w:line="360" w:lineRule="auto"/>
        <w:ind w:firstLine="420" w:firstLineChars="200"/>
        <w:rPr>
          <w:rFonts w:ascii="宋体" w:hAnsi="宋体" w:cs="宋体"/>
          <w:color w:val="000000" w:themeColor="text1"/>
        </w:rPr>
      </w:pPr>
      <w:r>
        <w:rPr>
          <w:rFonts w:hint="eastAsia" w:ascii="宋体" w:hAnsi="宋体" w:cs="宋体"/>
          <w:color w:val="000000" w:themeColor="text1"/>
        </w:rPr>
        <w:t>3.4.2 投标人得分分值计算保留小数点后两位，小数点后第三位“四舍五入”。</w:t>
      </w:r>
    </w:p>
    <w:p w14:paraId="0F201A77">
      <w:pPr>
        <w:spacing w:line="360" w:lineRule="auto"/>
        <w:ind w:firstLine="420" w:firstLineChars="200"/>
        <w:rPr>
          <w:rFonts w:ascii="宋体" w:hAnsi="宋体" w:cs="宋体"/>
          <w:color w:val="000000" w:themeColor="text1"/>
        </w:rPr>
      </w:pPr>
      <w:r>
        <w:rPr>
          <w:rFonts w:hint="eastAsia" w:ascii="宋体" w:hAnsi="宋体" w:cs="宋体"/>
          <w:color w:val="000000" w:themeColor="text1"/>
        </w:rPr>
        <w:t>3.4.3 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p w14:paraId="12F2F18C">
      <w:pPr>
        <w:spacing w:line="360" w:lineRule="auto"/>
        <w:ind w:firstLine="420" w:firstLineChars="200"/>
        <w:rPr>
          <w:rFonts w:ascii="宋体" w:hAnsi="宋体" w:cs="宋体"/>
          <w:color w:val="000000" w:themeColor="text1"/>
        </w:rPr>
      </w:pPr>
      <w:r>
        <w:rPr>
          <w:rFonts w:hint="eastAsia" w:ascii="宋体" w:hAnsi="宋体" w:cs="宋体"/>
          <w:color w:val="000000" w:themeColor="text1"/>
        </w:rPr>
        <w:t>3.5 投标文件相关信息的核查</w:t>
      </w:r>
    </w:p>
    <w:p w14:paraId="19488467">
      <w:pPr>
        <w:spacing w:line="360" w:lineRule="auto"/>
        <w:ind w:firstLine="420" w:firstLineChars="200"/>
        <w:rPr>
          <w:rFonts w:ascii="宋体" w:hAnsi="宋体" w:cs="宋体"/>
          <w:color w:val="000000" w:themeColor="text1"/>
        </w:rPr>
      </w:pPr>
      <w:r>
        <w:rPr>
          <w:rFonts w:hint="eastAsia" w:ascii="宋体" w:hAnsi="宋体" w:cs="宋体"/>
          <w:color w:val="000000" w:themeColor="text1"/>
        </w:rPr>
        <w:t>3.5.1 在评标过程中，评标委员会应按照招标文件第二章“投标人须知”第3.5款的规定对投标人的资质、业绩、主要人员资历和目前在岗情况等信息进行核实。若投标文件载明的信息与核实的信息不符，使得投标人的资格条件不符合招标文件规定的，评标委员会应否决其投标。</w:t>
      </w:r>
    </w:p>
    <w:p w14:paraId="535DB58B">
      <w:pPr>
        <w:spacing w:line="360" w:lineRule="auto"/>
        <w:ind w:firstLine="420" w:firstLineChars="200"/>
        <w:rPr>
          <w:rFonts w:ascii="宋体" w:hAnsi="宋体" w:cs="宋体"/>
          <w:color w:val="000000" w:themeColor="text1"/>
        </w:rPr>
      </w:pPr>
      <w:r>
        <w:rPr>
          <w:rFonts w:hint="eastAsia" w:ascii="宋体" w:hAnsi="宋体" w:cs="宋体"/>
          <w:color w:val="000000" w:themeColor="text1"/>
        </w:rPr>
        <w:t>3.5.2 评标委员会应对在评标过程中发现的投标人与投标人之间、投标人与招标人之间存在的串通投标的情形进行评审和认定。投标人存在串通投标、弄虚作假、行贿等违法行为的，评标委员会应否决其投标。</w:t>
      </w:r>
    </w:p>
    <w:p w14:paraId="589F491C">
      <w:pPr>
        <w:spacing w:line="360" w:lineRule="auto"/>
        <w:ind w:firstLine="420" w:firstLineChars="200"/>
        <w:rPr>
          <w:rFonts w:ascii="宋体" w:hAnsi="宋体" w:cs="宋体"/>
          <w:color w:val="000000" w:themeColor="text1"/>
        </w:rPr>
      </w:pPr>
      <w:r>
        <w:rPr>
          <w:rFonts w:hint="eastAsia" w:ascii="宋体" w:hAnsi="宋体" w:cs="宋体"/>
          <w:color w:val="000000" w:themeColor="text1"/>
        </w:rPr>
        <w:t>（1）有下列情形之一的，属于投标人相互串通投标：</w:t>
      </w:r>
    </w:p>
    <w:p w14:paraId="7FDFC9B3">
      <w:pPr>
        <w:spacing w:line="360" w:lineRule="auto"/>
        <w:ind w:firstLine="420" w:firstLineChars="200"/>
        <w:rPr>
          <w:rFonts w:ascii="宋体" w:hAnsi="宋体" w:cs="宋体"/>
          <w:color w:val="000000" w:themeColor="text1"/>
        </w:rPr>
      </w:pPr>
      <w:r>
        <w:rPr>
          <w:rFonts w:hint="eastAsia" w:ascii="宋体" w:hAnsi="宋体" w:cs="宋体"/>
          <w:color w:val="000000" w:themeColor="text1"/>
        </w:rPr>
        <w:t>a.投标人之间协商投标报价等投标文件的实质性内容，含按照相互约定不实质性响应招标文件的、按照相互约定制定投标方案的；</w:t>
      </w:r>
    </w:p>
    <w:p w14:paraId="646A8FA7">
      <w:pPr>
        <w:spacing w:line="360" w:lineRule="auto"/>
        <w:ind w:firstLine="420" w:firstLineChars="200"/>
        <w:rPr>
          <w:rFonts w:ascii="宋体" w:hAnsi="宋体" w:cs="宋体"/>
          <w:color w:val="000000" w:themeColor="text1"/>
        </w:rPr>
      </w:pPr>
      <w:r>
        <w:rPr>
          <w:rFonts w:hint="eastAsia" w:ascii="宋体" w:hAnsi="宋体" w:cs="宋体"/>
          <w:color w:val="000000" w:themeColor="text1"/>
        </w:rPr>
        <w:t>b.投标人之间约定中标人，含相互约定给予未中标的投标人费用补偿的；</w:t>
      </w:r>
    </w:p>
    <w:p w14:paraId="7A7DAE9A">
      <w:pPr>
        <w:spacing w:line="360" w:lineRule="auto"/>
        <w:ind w:firstLine="420" w:firstLineChars="200"/>
        <w:rPr>
          <w:rFonts w:ascii="宋体" w:hAnsi="宋体" w:cs="宋体"/>
          <w:color w:val="000000" w:themeColor="text1"/>
        </w:rPr>
      </w:pPr>
      <w:r>
        <w:rPr>
          <w:rFonts w:hint="eastAsia" w:ascii="宋体" w:hAnsi="宋体" w:cs="宋体"/>
          <w:color w:val="000000" w:themeColor="text1"/>
        </w:rPr>
        <w:t>c.投标人之间约定部分投标人放弃投标或中标；</w:t>
      </w:r>
    </w:p>
    <w:p w14:paraId="2383384C">
      <w:pPr>
        <w:spacing w:line="360" w:lineRule="auto"/>
        <w:ind w:firstLine="420" w:firstLineChars="200"/>
        <w:rPr>
          <w:rFonts w:ascii="宋体" w:hAnsi="宋体" w:cs="宋体"/>
          <w:color w:val="000000" w:themeColor="text1"/>
        </w:rPr>
      </w:pPr>
      <w:r>
        <w:rPr>
          <w:rFonts w:hint="eastAsia" w:ascii="宋体" w:hAnsi="宋体" w:cs="宋体"/>
          <w:color w:val="000000" w:themeColor="text1"/>
        </w:rPr>
        <w:t>d.属于同一集团、协会、商会等组织成员的投标人按照该组织要求协同投标；</w:t>
      </w:r>
    </w:p>
    <w:p w14:paraId="13878C88">
      <w:pPr>
        <w:spacing w:line="360" w:lineRule="auto"/>
        <w:ind w:firstLine="420" w:firstLineChars="200"/>
        <w:rPr>
          <w:rFonts w:ascii="宋体" w:hAnsi="宋体" w:cs="宋体"/>
          <w:color w:val="000000" w:themeColor="text1"/>
        </w:rPr>
      </w:pPr>
      <w:r>
        <w:rPr>
          <w:rFonts w:hint="eastAsia" w:ascii="宋体" w:hAnsi="宋体" w:cs="宋体"/>
          <w:color w:val="000000" w:themeColor="text1"/>
        </w:rPr>
        <w:t>e.投标人之间为谋取中标或排斥特定投标人而采取的其他联合行动；</w:t>
      </w:r>
    </w:p>
    <w:p w14:paraId="019F5A76">
      <w:pPr>
        <w:spacing w:line="360" w:lineRule="auto"/>
        <w:ind w:firstLine="420" w:firstLineChars="200"/>
        <w:rPr>
          <w:rFonts w:ascii="宋体" w:hAnsi="宋体" w:cs="宋体"/>
          <w:color w:val="000000" w:themeColor="text1"/>
        </w:rPr>
      </w:pPr>
      <w:r>
        <w:rPr>
          <w:rFonts w:hint="eastAsia" w:ascii="宋体" w:hAnsi="宋体" w:cs="宋体"/>
          <w:color w:val="000000" w:themeColor="text1"/>
        </w:rPr>
        <w:t>f.法律、法规、规章规定的其他相互串通投标行为。</w:t>
      </w:r>
    </w:p>
    <w:p w14:paraId="03051DF0">
      <w:pPr>
        <w:spacing w:line="360" w:lineRule="auto"/>
        <w:ind w:firstLine="420" w:firstLineChars="200"/>
        <w:rPr>
          <w:rFonts w:ascii="宋体" w:hAnsi="宋体" w:cs="宋体"/>
          <w:color w:val="000000" w:themeColor="text1"/>
        </w:rPr>
      </w:pPr>
      <w:r>
        <w:rPr>
          <w:rFonts w:hint="eastAsia" w:ascii="宋体" w:hAnsi="宋体" w:cs="宋体"/>
          <w:color w:val="000000" w:themeColor="text1"/>
        </w:rPr>
        <w:t>（2）有下列情形之一的，视为投标人相互串通投标：</w:t>
      </w:r>
    </w:p>
    <w:p w14:paraId="760A2D16">
      <w:pPr>
        <w:spacing w:line="360" w:lineRule="auto"/>
        <w:ind w:firstLine="420" w:firstLineChars="200"/>
        <w:rPr>
          <w:rFonts w:ascii="宋体" w:hAnsi="宋体" w:cs="宋体"/>
          <w:color w:val="000000" w:themeColor="text1"/>
        </w:rPr>
      </w:pPr>
      <w:r>
        <w:rPr>
          <w:rFonts w:hint="eastAsia" w:ascii="宋体" w:hAnsi="宋体" w:cs="宋体"/>
          <w:color w:val="000000" w:themeColor="text1"/>
        </w:rPr>
        <w:t>a.不同投标人的投标文件由同一单位或个人编制，含不同投标人的电子投标文件出自同一台电脑的、不同投标人的投标文件由同一投标人的附属设备打印复印的、不同投标人的投标报价出自同一电子文档的；</w:t>
      </w:r>
    </w:p>
    <w:p w14:paraId="6ABBF3A6">
      <w:pPr>
        <w:spacing w:line="360" w:lineRule="auto"/>
        <w:ind w:firstLine="420" w:firstLineChars="200"/>
        <w:rPr>
          <w:rFonts w:ascii="宋体" w:hAnsi="宋体" w:cs="宋体"/>
          <w:color w:val="000000" w:themeColor="text1"/>
        </w:rPr>
      </w:pPr>
      <w:r>
        <w:rPr>
          <w:rFonts w:hint="eastAsia" w:ascii="宋体" w:hAnsi="宋体" w:cs="宋体"/>
          <w:color w:val="000000" w:themeColor="text1"/>
        </w:rPr>
        <w:t>b.不同投标人委托同一单位或个人办理投标事宜；</w:t>
      </w:r>
    </w:p>
    <w:p w14:paraId="5D3FE6FB">
      <w:pPr>
        <w:spacing w:line="360" w:lineRule="auto"/>
        <w:ind w:firstLine="420" w:firstLineChars="200"/>
        <w:rPr>
          <w:rFonts w:ascii="宋体" w:hAnsi="宋体" w:cs="宋体"/>
          <w:color w:val="000000" w:themeColor="text1"/>
        </w:rPr>
      </w:pPr>
      <w:r>
        <w:rPr>
          <w:rFonts w:hint="eastAsia" w:ascii="宋体" w:hAnsi="宋体" w:cs="宋体"/>
          <w:color w:val="000000" w:themeColor="text1"/>
        </w:rPr>
        <w:t>c.不同投标人的投标文件载明的项目管理成员为同一人；</w:t>
      </w:r>
    </w:p>
    <w:p w14:paraId="38CC1E0A">
      <w:pPr>
        <w:spacing w:line="360" w:lineRule="auto"/>
        <w:ind w:firstLine="420" w:firstLineChars="200"/>
        <w:rPr>
          <w:rFonts w:ascii="宋体" w:hAnsi="宋体" w:cs="宋体"/>
          <w:color w:val="000000" w:themeColor="text1"/>
        </w:rPr>
      </w:pPr>
      <w:r>
        <w:rPr>
          <w:rFonts w:hint="eastAsia" w:ascii="宋体" w:hAnsi="宋体" w:cs="宋体"/>
          <w:color w:val="000000" w:themeColor="text1"/>
        </w:rPr>
        <w:t>d.不同投标人的投标文件异常一致或投标报价呈规律性差异，含不同投标人编制的投标文件存在两处以上一致性错误的；</w:t>
      </w:r>
    </w:p>
    <w:p w14:paraId="192E27ED">
      <w:pPr>
        <w:spacing w:line="360" w:lineRule="auto"/>
        <w:ind w:firstLine="420" w:firstLineChars="200"/>
        <w:rPr>
          <w:rFonts w:ascii="宋体" w:hAnsi="宋体" w:cs="宋体"/>
          <w:color w:val="000000" w:themeColor="text1"/>
        </w:rPr>
      </w:pPr>
      <w:r>
        <w:rPr>
          <w:rFonts w:hint="eastAsia" w:ascii="宋体" w:hAnsi="宋体" w:cs="宋体"/>
          <w:color w:val="000000" w:themeColor="text1"/>
        </w:rPr>
        <w:t>e.不同投标人的投标文件相互混装；</w:t>
      </w:r>
    </w:p>
    <w:p w14:paraId="11FBCF5B">
      <w:pPr>
        <w:spacing w:line="360" w:lineRule="auto"/>
        <w:ind w:firstLine="420" w:firstLineChars="200"/>
        <w:rPr>
          <w:rFonts w:ascii="宋体" w:hAnsi="宋体" w:cs="宋体"/>
          <w:color w:val="000000" w:themeColor="text1"/>
        </w:rPr>
      </w:pPr>
      <w:r>
        <w:rPr>
          <w:rFonts w:hint="eastAsia" w:ascii="宋体" w:hAnsi="宋体" w:cs="宋体"/>
          <w:color w:val="000000" w:themeColor="text1"/>
        </w:rPr>
        <w:t>f.不同投标人的投标保证金从同一单位或个人的账户转出，或虽然经由投标人自己的基本账户转出，但所需资金均是来自同一单位或者个人的账户的；</w:t>
      </w:r>
    </w:p>
    <w:p w14:paraId="10DAD94A">
      <w:pPr>
        <w:spacing w:line="360" w:lineRule="auto"/>
        <w:ind w:firstLine="420" w:firstLineChars="200"/>
        <w:rPr>
          <w:rFonts w:ascii="宋体" w:hAnsi="宋体" w:cs="宋体"/>
          <w:color w:val="000000" w:themeColor="text1"/>
        </w:rPr>
      </w:pPr>
      <w:r>
        <w:rPr>
          <w:rFonts w:hint="eastAsia" w:ascii="宋体" w:hAnsi="宋体" w:cs="宋体"/>
          <w:color w:val="000000" w:themeColor="text1"/>
        </w:rPr>
        <w:t>g.法律、法规、规章规定的其他视为相互串通投标的行为。</w:t>
      </w:r>
    </w:p>
    <w:p w14:paraId="112A434F">
      <w:pPr>
        <w:spacing w:line="360" w:lineRule="auto"/>
        <w:ind w:firstLine="420" w:firstLineChars="200"/>
        <w:rPr>
          <w:rFonts w:ascii="宋体" w:hAnsi="宋体" w:cs="宋体"/>
          <w:color w:val="000000" w:themeColor="text1"/>
        </w:rPr>
      </w:pPr>
      <w:r>
        <w:rPr>
          <w:rFonts w:hint="eastAsia" w:ascii="宋体" w:hAnsi="宋体" w:cs="宋体"/>
          <w:color w:val="000000" w:themeColor="text1"/>
        </w:rPr>
        <w:t>（3）有下列情形之一的，属于招标人与投标人串通投标：</w:t>
      </w:r>
    </w:p>
    <w:p w14:paraId="57473BCA">
      <w:pPr>
        <w:spacing w:line="360" w:lineRule="auto"/>
        <w:ind w:firstLine="420" w:firstLineChars="200"/>
        <w:rPr>
          <w:rFonts w:ascii="宋体" w:hAnsi="宋体" w:cs="宋体"/>
          <w:color w:val="000000" w:themeColor="text1"/>
        </w:rPr>
      </w:pPr>
      <w:r>
        <w:rPr>
          <w:rFonts w:hint="eastAsia" w:ascii="宋体" w:hAnsi="宋体" w:cs="宋体"/>
          <w:color w:val="000000" w:themeColor="text1"/>
        </w:rPr>
        <w:t>a.招标人在开标前开启投标文件并将有关信息泄露给其他投标人，含直接或者间接向投标人泄露已经获取招标文件的潜在投标人的名称、数量的;</w:t>
      </w:r>
    </w:p>
    <w:p w14:paraId="663EFC69">
      <w:pPr>
        <w:spacing w:line="360" w:lineRule="auto"/>
        <w:ind w:firstLine="420" w:firstLineChars="200"/>
        <w:rPr>
          <w:rFonts w:ascii="宋体" w:hAnsi="宋体" w:cs="宋体"/>
          <w:color w:val="000000" w:themeColor="text1"/>
        </w:rPr>
      </w:pPr>
      <w:r>
        <w:rPr>
          <w:rFonts w:hint="eastAsia" w:ascii="宋体" w:hAnsi="宋体" w:cs="宋体"/>
          <w:color w:val="000000" w:themeColor="text1"/>
        </w:rPr>
        <w:t>b.招标人直接或间接向投标人泄露标底、评标委员会成员等信息，含直接或者间接向投标利害关系人泄露评标情况的；</w:t>
      </w:r>
    </w:p>
    <w:p w14:paraId="1747EB55">
      <w:pPr>
        <w:spacing w:line="360" w:lineRule="auto"/>
        <w:ind w:firstLine="420" w:firstLineChars="200"/>
        <w:rPr>
          <w:rFonts w:ascii="宋体" w:hAnsi="宋体" w:cs="宋体"/>
          <w:color w:val="000000" w:themeColor="text1"/>
        </w:rPr>
      </w:pPr>
      <w:r>
        <w:rPr>
          <w:rFonts w:hint="eastAsia" w:ascii="宋体" w:hAnsi="宋体" w:cs="宋体"/>
          <w:color w:val="000000" w:themeColor="text1"/>
        </w:rPr>
        <w:t>c.招标人明示或暗示投标人压低或抬高投标报价；</w:t>
      </w:r>
    </w:p>
    <w:p w14:paraId="0FF609A1">
      <w:pPr>
        <w:spacing w:line="360" w:lineRule="auto"/>
        <w:ind w:firstLine="420" w:firstLineChars="200"/>
        <w:rPr>
          <w:rFonts w:ascii="宋体" w:hAnsi="宋体" w:cs="宋体"/>
          <w:color w:val="000000" w:themeColor="text1"/>
        </w:rPr>
      </w:pPr>
      <w:r>
        <w:rPr>
          <w:rFonts w:hint="eastAsia" w:ascii="宋体" w:hAnsi="宋体" w:cs="宋体"/>
          <w:color w:val="000000" w:themeColor="text1"/>
        </w:rPr>
        <w:t>d.招标人授意投标人撤换、修改投标文件，含故意损毁、篡改特定投标文件内容；</w:t>
      </w:r>
    </w:p>
    <w:p w14:paraId="7E7B8FF2">
      <w:pPr>
        <w:spacing w:line="360" w:lineRule="auto"/>
        <w:ind w:firstLine="420" w:firstLineChars="200"/>
        <w:rPr>
          <w:rFonts w:ascii="宋体" w:hAnsi="宋体" w:cs="宋体"/>
          <w:color w:val="000000" w:themeColor="text1"/>
        </w:rPr>
      </w:pPr>
      <w:r>
        <w:rPr>
          <w:rFonts w:hint="eastAsia" w:ascii="宋体" w:hAnsi="宋体" w:cs="宋体"/>
          <w:color w:val="000000" w:themeColor="text1"/>
        </w:rPr>
        <w:t>e.招标人明示或暗示投标人为特定投标人中标提供方便；</w:t>
      </w:r>
    </w:p>
    <w:p w14:paraId="54D6AE09">
      <w:pPr>
        <w:spacing w:line="360" w:lineRule="auto"/>
        <w:ind w:firstLine="420" w:firstLineChars="200"/>
        <w:rPr>
          <w:rFonts w:ascii="宋体" w:hAnsi="宋体" w:cs="宋体"/>
          <w:color w:val="000000" w:themeColor="text1"/>
        </w:rPr>
      </w:pPr>
      <w:r>
        <w:rPr>
          <w:rFonts w:hint="eastAsia" w:ascii="宋体" w:hAnsi="宋体" w:cs="宋体"/>
          <w:color w:val="000000" w:themeColor="text1"/>
        </w:rPr>
        <w:t>f.招标人与投标人为谋求特定投标人中标而采取的其他串通行为；</w:t>
      </w:r>
    </w:p>
    <w:p w14:paraId="08B635A7">
      <w:pPr>
        <w:spacing w:line="360" w:lineRule="auto"/>
        <w:ind w:firstLine="420" w:firstLineChars="200"/>
        <w:rPr>
          <w:rFonts w:ascii="宋体" w:hAnsi="宋体" w:cs="宋体"/>
          <w:color w:val="000000" w:themeColor="text1"/>
        </w:rPr>
      </w:pPr>
      <w:r>
        <w:rPr>
          <w:rFonts w:hint="eastAsia" w:ascii="宋体" w:hAnsi="宋体" w:cs="宋体"/>
          <w:color w:val="000000" w:themeColor="text1"/>
        </w:rPr>
        <w:t>g.法律、法规、规章规定的其他串通投标行为。</w:t>
      </w:r>
    </w:p>
    <w:p w14:paraId="4296846D">
      <w:pPr>
        <w:spacing w:line="360" w:lineRule="auto"/>
        <w:ind w:firstLine="420" w:firstLineChars="200"/>
        <w:rPr>
          <w:rFonts w:ascii="宋体" w:hAnsi="宋体" w:cs="宋体"/>
          <w:color w:val="000000" w:themeColor="text1"/>
        </w:rPr>
      </w:pPr>
      <w:r>
        <w:rPr>
          <w:rFonts w:hint="eastAsia" w:ascii="宋体" w:hAnsi="宋体" w:cs="宋体"/>
          <w:color w:val="000000" w:themeColor="text1"/>
        </w:rPr>
        <w:t>（4）投标人有下列情形之一的，属于弄虚作假的行为：</w:t>
      </w:r>
    </w:p>
    <w:p w14:paraId="2E74FBE0">
      <w:pPr>
        <w:spacing w:line="360" w:lineRule="auto"/>
        <w:ind w:firstLine="420" w:firstLineChars="200"/>
        <w:rPr>
          <w:rFonts w:ascii="宋体" w:hAnsi="宋体" w:cs="宋体"/>
          <w:color w:val="000000" w:themeColor="text1"/>
        </w:rPr>
      </w:pPr>
      <w:r>
        <w:rPr>
          <w:rFonts w:hint="eastAsia" w:ascii="宋体" w:hAnsi="宋体" w:cs="宋体"/>
          <w:color w:val="000000" w:themeColor="text1"/>
        </w:rPr>
        <w:t>a.使用通过受让或租借等方式获取的资格、资质证书投标，含由其他单位或者其他单位负责人在自己编制的投标文件上加盖印章或者签字的；</w:t>
      </w:r>
    </w:p>
    <w:p w14:paraId="62C650F3">
      <w:pPr>
        <w:spacing w:line="360" w:lineRule="auto"/>
        <w:ind w:firstLine="420" w:firstLineChars="200"/>
        <w:rPr>
          <w:rFonts w:ascii="宋体" w:hAnsi="宋体" w:cs="宋体"/>
          <w:color w:val="000000" w:themeColor="text1"/>
        </w:rPr>
      </w:pPr>
      <w:r>
        <w:rPr>
          <w:rFonts w:hint="eastAsia" w:ascii="宋体" w:hAnsi="宋体" w:cs="宋体"/>
          <w:color w:val="000000" w:themeColor="text1"/>
        </w:rPr>
        <w:t>b.使用伪造、变造的许可证件；</w:t>
      </w:r>
    </w:p>
    <w:p w14:paraId="7BB37FFA">
      <w:pPr>
        <w:spacing w:line="360" w:lineRule="auto"/>
        <w:ind w:firstLine="420" w:firstLineChars="200"/>
        <w:rPr>
          <w:rFonts w:ascii="宋体" w:hAnsi="宋体" w:cs="宋体"/>
          <w:color w:val="000000" w:themeColor="text1"/>
        </w:rPr>
      </w:pPr>
      <w:r>
        <w:rPr>
          <w:rFonts w:hint="eastAsia" w:ascii="宋体" w:hAnsi="宋体" w:cs="宋体"/>
          <w:color w:val="000000" w:themeColor="text1"/>
        </w:rPr>
        <w:t>c.提供虚假的财务状况或业绩；</w:t>
      </w:r>
    </w:p>
    <w:p w14:paraId="201F09D2">
      <w:pPr>
        <w:spacing w:line="360" w:lineRule="auto"/>
        <w:ind w:firstLine="420" w:firstLineChars="200"/>
        <w:rPr>
          <w:rFonts w:ascii="宋体" w:hAnsi="宋体" w:cs="宋体"/>
          <w:color w:val="000000" w:themeColor="text1"/>
        </w:rPr>
      </w:pPr>
      <w:r>
        <w:rPr>
          <w:rFonts w:hint="eastAsia" w:ascii="宋体" w:hAnsi="宋体" w:cs="宋体"/>
          <w:color w:val="000000" w:themeColor="text1"/>
        </w:rPr>
        <w:t>d.项目负责人或者主要技术人员不是本单位人员，提供虚假的项目负责人或主要技术人员简历、劳动关系证明；</w:t>
      </w:r>
    </w:p>
    <w:p w14:paraId="79FB7D3C">
      <w:pPr>
        <w:spacing w:line="360" w:lineRule="auto"/>
        <w:ind w:firstLine="420" w:firstLineChars="200"/>
        <w:rPr>
          <w:rFonts w:ascii="宋体" w:hAnsi="宋体" w:cs="宋体"/>
          <w:color w:val="000000" w:themeColor="text1"/>
        </w:rPr>
      </w:pPr>
      <w:r>
        <w:rPr>
          <w:rFonts w:hint="eastAsia" w:ascii="宋体" w:hAnsi="宋体" w:cs="宋体"/>
          <w:color w:val="000000" w:themeColor="text1"/>
        </w:rPr>
        <w:t>e.提供虚假的信用状况；</w:t>
      </w:r>
    </w:p>
    <w:p w14:paraId="62669F2A">
      <w:pPr>
        <w:spacing w:line="360" w:lineRule="auto"/>
        <w:ind w:firstLine="420" w:firstLineChars="200"/>
        <w:rPr>
          <w:rFonts w:ascii="宋体" w:hAnsi="宋体" w:cs="宋体"/>
          <w:color w:val="000000" w:themeColor="text1"/>
        </w:rPr>
      </w:pPr>
      <w:r>
        <w:rPr>
          <w:rFonts w:hint="eastAsia" w:ascii="宋体" w:hAnsi="宋体" w:cs="宋体"/>
          <w:color w:val="000000" w:themeColor="text1"/>
        </w:rPr>
        <w:t>f.投标保证金不是从投标人的账户缴纳的；</w:t>
      </w:r>
    </w:p>
    <w:p w14:paraId="14EB3248">
      <w:pPr>
        <w:spacing w:line="360" w:lineRule="auto"/>
        <w:ind w:firstLine="420" w:firstLineChars="200"/>
        <w:rPr>
          <w:rFonts w:ascii="宋体" w:hAnsi="宋体" w:cs="宋体"/>
          <w:color w:val="000000" w:themeColor="text1"/>
        </w:rPr>
      </w:pPr>
      <w:r>
        <w:rPr>
          <w:rFonts w:hint="eastAsia" w:ascii="宋体" w:hAnsi="宋体" w:cs="宋体"/>
          <w:color w:val="000000" w:themeColor="text1"/>
        </w:rPr>
        <w:t>g.投标文件中有与事实不符的承诺材料的；</w:t>
      </w:r>
    </w:p>
    <w:p w14:paraId="74E1B49F">
      <w:pPr>
        <w:spacing w:line="360" w:lineRule="auto"/>
        <w:ind w:firstLine="420" w:firstLineChars="200"/>
        <w:rPr>
          <w:rFonts w:ascii="宋体" w:hAnsi="宋体" w:cs="宋体"/>
          <w:color w:val="000000" w:themeColor="text1"/>
        </w:rPr>
      </w:pPr>
      <w:r>
        <w:rPr>
          <w:rFonts w:hint="eastAsia" w:ascii="宋体" w:hAnsi="宋体" w:cs="宋体"/>
          <w:color w:val="000000" w:themeColor="text1"/>
        </w:rPr>
        <w:t>h.隐瞒招标文件要求提供的信息，或者提供虚假、引人误解的其他信息的；</w:t>
      </w:r>
    </w:p>
    <w:p w14:paraId="4A4C894F">
      <w:pPr>
        <w:spacing w:line="360" w:lineRule="auto"/>
        <w:ind w:firstLine="420" w:firstLineChars="200"/>
        <w:rPr>
          <w:rFonts w:ascii="宋体" w:hAnsi="宋体" w:cs="宋体"/>
          <w:color w:val="000000" w:themeColor="text1"/>
        </w:rPr>
      </w:pPr>
      <w:r>
        <w:rPr>
          <w:rFonts w:hint="eastAsia" w:ascii="宋体" w:hAnsi="宋体" w:cs="宋体"/>
          <w:color w:val="000000" w:themeColor="text1"/>
        </w:rPr>
        <w:t>i.法律、法规、规章规定的其他弄虚作假的行为。</w:t>
      </w:r>
    </w:p>
    <w:p w14:paraId="3293DE51">
      <w:pPr>
        <w:spacing w:line="360" w:lineRule="auto"/>
        <w:ind w:firstLine="420" w:firstLineChars="200"/>
        <w:rPr>
          <w:rFonts w:ascii="宋体" w:hAnsi="宋体" w:cs="宋体"/>
          <w:color w:val="000000" w:themeColor="text1"/>
        </w:rPr>
      </w:pPr>
      <w:r>
        <w:rPr>
          <w:rFonts w:hint="eastAsia" w:ascii="宋体" w:hAnsi="宋体" w:cs="宋体"/>
          <w:color w:val="000000" w:themeColor="text1"/>
        </w:rPr>
        <w:t>3.6 投标文件的澄清和说明</w:t>
      </w:r>
    </w:p>
    <w:p w14:paraId="7344A608">
      <w:pPr>
        <w:spacing w:line="360" w:lineRule="auto"/>
        <w:ind w:firstLine="420" w:firstLineChars="200"/>
        <w:rPr>
          <w:rFonts w:ascii="宋体" w:hAnsi="宋体" w:cs="宋体"/>
          <w:color w:val="000000" w:themeColor="text1"/>
        </w:rPr>
      </w:pPr>
      <w:r>
        <w:rPr>
          <w:rFonts w:hint="eastAsia" w:ascii="宋体" w:hAnsi="宋体" w:cs="宋体"/>
          <w:color w:val="000000" w:themeColor="text1"/>
        </w:rPr>
        <w:t>3.6.1 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14:paraId="2074F128">
      <w:pPr>
        <w:spacing w:line="360" w:lineRule="auto"/>
        <w:ind w:firstLine="420" w:firstLineChars="200"/>
        <w:rPr>
          <w:rFonts w:ascii="宋体" w:hAnsi="宋体" w:cs="宋体"/>
          <w:color w:val="000000" w:themeColor="text1"/>
        </w:rPr>
      </w:pPr>
      <w:r>
        <w:rPr>
          <w:rFonts w:hint="eastAsia" w:ascii="宋体" w:hAnsi="宋体" w:cs="宋体"/>
          <w:color w:val="000000" w:themeColor="text1"/>
        </w:rPr>
        <w:t>3.6.2 澄清和说明不得超出投标文件的范围或改变投标文件的实质性内容。投标人的书面澄清、说明属于投标文件的组成部分。</w:t>
      </w:r>
    </w:p>
    <w:p w14:paraId="453F557C">
      <w:pPr>
        <w:spacing w:line="360" w:lineRule="auto"/>
        <w:ind w:firstLine="420" w:firstLineChars="200"/>
        <w:rPr>
          <w:rFonts w:ascii="宋体" w:hAnsi="宋体" w:cs="宋体"/>
          <w:color w:val="000000" w:themeColor="text1"/>
        </w:rPr>
      </w:pPr>
      <w:r>
        <w:rPr>
          <w:rFonts w:hint="eastAsia" w:ascii="宋体" w:hAnsi="宋体" w:cs="宋体"/>
          <w:color w:val="000000" w:themeColor="text1"/>
        </w:rPr>
        <w:t>3.6.3 评标委员会不得暗示或诱导投标人作出澄清、说明，对投标人提交的澄清、说明有疑问的，可以要求投标人进一步澄清或说明，直至满足评标委员会的要求。</w:t>
      </w:r>
    </w:p>
    <w:p w14:paraId="3409B041">
      <w:pPr>
        <w:spacing w:line="360" w:lineRule="auto"/>
        <w:ind w:firstLine="420" w:firstLineChars="200"/>
        <w:rPr>
          <w:rFonts w:ascii="宋体" w:hAnsi="宋体" w:cs="宋体"/>
          <w:color w:val="000000" w:themeColor="text1"/>
        </w:rPr>
      </w:pPr>
      <w:r>
        <w:rPr>
          <w:rFonts w:hint="eastAsia" w:ascii="宋体" w:hAnsi="宋体" w:cs="宋体"/>
          <w:color w:val="000000" w:themeColor="text1"/>
        </w:rPr>
        <w:t>3.6.4 凡超出招标文件规定的或给发包人带来未曾要求的利益的变化、偏差或其他因素在评标时不予考虑。</w:t>
      </w:r>
    </w:p>
    <w:p w14:paraId="02499B62">
      <w:pPr>
        <w:spacing w:line="360" w:lineRule="auto"/>
        <w:ind w:firstLine="420" w:firstLineChars="200"/>
        <w:rPr>
          <w:rFonts w:ascii="宋体" w:hAnsi="宋体" w:cs="宋体"/>
          <w:color w:val="000000" w:themeColor="text1"/>
        </w:rPr>
      </w:pPr>
      <w:r>
        <w:rPr>
          <w:rFonts w:hint="eastAsia" w:ascii="宋体" w:hAnsi="宋体" w:cs="宋体"/>
          <w:color w:val="000000" w:themeColor="text1"/>
        </w:rPr>
        <w:t>3.7 不得否决投标的情形</w:t>
      </w:r>
    </w:p>
    <w:p w14:paraId="5EF0F0CF">
      <w:pPr>
        <w:spacing w:line="360" w:lineRule="auto"/>
        <w:ind w:firstLine="420" w:firstLineChars="200"/>
        <w:rPr>
          <w:rFonts w:ascii="宋体" w:hAnsi="宋体" w:cs="宋体"/>
          <w:color w:val="000000" w:themeColor="text1"/>
        </w:rPr>
      </w:pPr>
      <w:r>
        <w:rPr>
          <w:rFonts w:hint="eastAsia" w:ascii="宋体" w:hAnsi="宋体" w:cs="宋体"/>
          <w:color w:val="000000" w:themeColor="text1"/>
        </w:rPr>
        <w:t>投标文件存在第二章“投标人须知”第1.12.3项所列情形的，均视为细微偏差，评标委员会不得否决投标人的投标，应按照第二章“投标人须知”第1.12.4项规定的原则处理。</w:t>
      </w:r>
    </w:p>
    <w:p w14:paraId="5DC3716E">
      <w:pPr>
        <w:spacing w:line="360" w:lineRule="auto"/>
        <w:ind w:firstLine="420" w:firstLineChars="200"/>
        <w:rPr>
          <w:rFonts w:ascii="宋体" w:hAnsi="宋体" w:cs="宋体"/>
          <w:color w:val="000000" w:themeColor="text1"/>
        </w:rPr>
      </w:pPr>
      <w:r>
        <w:rPr>
          <w:rFonts w:hint="eastAsia" w:ascii="宋体" w:hAnsi="宋体" w:cs="宋体"/>
          <w:color w:val="000000" w:themeColor="text1"/>
        </w:rPr>
        <w:t>3.8 评标结果</w:t>
      </w:r>
    </w:p>
    <w:p w14:paraId="317B740E">
      <w:pPr>
        <w:spacing w:line="360" w:lineRule="auto"/>
        <w:ind w:firstLine="420" w:firstLineChars="200"/>
        <w:rPr>
          <w:rFonts w:ascii="宋体" w:hAnsi="宋体" w:cs="宋体"/>
          <w:color w:val="000000" w:themeColor="text1"/>
        </w:rPr>
      </w:pPr>
      <w:r>
        <w:rPr>
          <w:rFonts w:hint="eastAsia" w:ascii="宋体" w:hAnsi="宋体" w:cs="宋体"/>
          <w:color w:val="000000" w:themeColor="text1"/>
        </w:rPr>
        <w:t>3.8.1 除第二章“投标人须知”前附表授权直接确定中标人外，评标委员会按照得分由高到低的顺序推荐中标候选人，并标明排序。</w:t>
      </w:r>
    </w:p>
    <w:p w14:paraId="60455D3A">
      <w:pPr>
        <w:spacing w:line="360" w:lineRule="auto"/>
        <w:ind w:firstLine="420" w:firstLineChars="200"/>
        <w:rPr>
          <w:rFonts w:ascii="宋体" w:hAnsi="宋体" w:cs="宋体"/>
          <w:color w:val="000000" w:themeColor="text1"/>
        </w:rPr>
      </w:pPr>
      <w:r>
        <w:rPr>
          <w:rFonts w:hint="eastAsia" w:ascii="宋体" w:hAnsi="宋体" w:cs="宋体"/>
          <w:color w:val="000000" w:themeColor="text1"/>
        </w:rPr>
        <w:t>3.8.2 评标委员会完成评标后，应向招标人提交书面评标报告</w:t>
      </w:r>
    </w:p>
    <w:p w14:paraId="74AFAD32">
      <w:pPr>
        <w:pStyle w:val="30"/>
        <w:spacing w:line="360" w:lineRule="atLeast"/>
        <w:ind w:firstLine="480"/>
        <w:rPr>
          <w:rFonts w:ascii="隶书" w:hAnsi="黑体" w:eastAsia="隶书"/>
          <w:color w:val="000000" w:themeColor="text1"/>
        </w:rPr>
      </w:pPr>
    </w:p>
    <w:p w14:paraId="6D6FE134">
      <w:pPr>
        <w:widowControl/>
        <w:jc w:val="left"/>
        <w:rPr>
          <w:bCs/>
          <w:color w:val="000000" w:themeColor="text1"/>
        </w:rPr>
      </w:pPr>
      <w:r>
        <w:rPr>
          <w:bCs/>
          <w:color w:val="000000" w:themeColor="text1"/>
        </w:rPr>
        <w:br w:type="page"/>
      </w:r>
    </w:p>
    <w:p w14:paraId="781DB0AA">
      <w:pPr>
        <w:pStyle w:val="202"/>
        <w:spacing w:line="240" w:lineRule="auto"/>
        <w:outlineLvl w:val="9"/>
        <w:rPr>
          <w:rFonts w:eastAsia="宋体"/>
          <w:color w:val="000000" w:themeColor="text1"/>
          <w:sz w:val="48"/>
          <w:szCs w:val="48"/>
        </w:rPr>
      </w:pPr>
    </w:p>
    <w:p w14:paraId="560A6576">
      <w:pPr>
        <w:rPr>
          <w:color w:val="000000" w:themeColor="text1"/>
          <w:sz w:val="48"/>
          <w:szCs w:val="48"/>
        </w:rPr>
      </w:pPr>
    </w:p>
    <w:p w14:paraId="41979E9E">
      <w:pPr>
        <w:pStyle w:val="20"/>
        <w:rPr>
          <w:color w:val="000000" w:themeColor="text1"/>
          <w:sz w:val="48"/>
          <w:szCs w:val="48"/>
        </w:rPr>
      </w:pPr>
    </w:p>
    <w:p w14:paraId="7968B5F8">
      <w:pPr>
        <w:rPr>
          <w:color w:val="000000" w:themeColor="text1"/>
          <w:sz w:val="48"/>
          <w:szCs w:val="48"/>
        </w:rPr>
      </w:pPr>
    </w:p>
    <w:p w14:paraId="03EC4E41">
      <w:pPr>
        <w:pStyle w:val="20"/>
        <w:rPr>
          <w:color w:val="000000" w:themeColor="text1"/>
          <w:sz w:val="48"/>
          <w:szCs w:val="48"/>
        </w:rPr>
      </w:pPr>
    </w:p>
    <w:p w14:paraId="6271A484">
      <w:pPr>
        <w:rPr>
          <w:color w:val="000000" w:themeColor="text1"/>
          <w:sz w:val="48"/>
          <w:szCs w:val="48"/>
        </w:rPr>
      </w:pPr>
    </w:p>
    <w:p w14:paraId="79B770CD">
      <w:pPr>
        <w:pStyle w:val="20"/>
        <w:rPr>
          <w:color w:val="000000" w:themeColor="text1"/>
          <w:sz w:val="48"/>
          <w:szCs w:val="48"/>
        </w:rPr>
      </w:pPr>
    </w:p>
    <w:p w14:paraId="298A36BE">
      <w:pPr>
        <w:rPr>
          <w:color w:val="000000" w:themeColor="text1"/>
          <w:sz w:val="48"/>
          <w:szCs w:val="48"/>
        </w:rPr>
      </w:pPr>
    </w:p>
    <w:p w14:paraId="29087FE2">
      <w:pPr>
        <w:pStyle w:val="20"/>
        <w:rPr>
          <w:color w:val="000000" w:themeColor="text1"/>
          <w:sz w:val="48"/>
          <w:szCs w:val="48"/>
        </w:rPr>
      </w:pPr>
    </w:p>
    <w:p w14:paraId="03DF3EB6"/>
    <w:p w14:paraId="74D95EBD">
      <w:pPr>
        <w:widowControl/>
        <w:jc w:val="left"/>
        <w:rPr>
          <w:color w:val="000000" w:themeColor="text1"/>
          <w:kern w:val="44"/>
          <w:sz w:val="52"/>
          <w:szCs w:val="52"/>
        </w:rPr>
      </w:pPr>
      <w:bookmarkStart w:id="238" w:name="_Toc179632627"/>
      <w:bookmarkStart w:id="239" w:name="_Toc152045609"/>
      <w:bookmarkStart w:id="240" w:name="_Toc152042387"/>
      <w:bookmarkStart w:id="241" w:name="_Toc144974577"/>
    </w:p>
    <w:p w14:paraId="55A21CA3">
      <w:pPr>
        <w:pStyle w:val="2"/>
        <w:spacing w:before="0" w:after="0" w:line="240" w:lineRule="auto"/>
        <w:jc w:val="center"/>
        <w:rPr>
          <w:b w:val="0"/>
          <w:bCs w:val="0"/>
          <w:color w:val="000000" w:themeColor="text1"/>
          <w:sz w:val="52"/>
          <w:szCs w:val="52"/>
        </w:rPr>
      </w:pPr>
      <w:bookmarkStart w:id="242" w:name="_Toc2486"/>
      <w:bookmarkStart w:id="243" w:name="_Toc15846"/>
      <w:r>
        <w:rPr>
          <w:rFonts w:hint="eastAsia" w:cs="黑体"/>
          <w:b w:val="0"/>
          <w:bCs w:val="0"/>
          <w:color w:val="000000" w:themeColor="text1"/>
          <w:sz w:val="52"/>
          <w:szCs w:val="52"/>
        </w:rPr>
        <w:t>第四章合同条款及格式</w:t>
      </w:r>
      <w:bookmarkEnd w:id="238"/>
      <w:bookmarkEnd w:id="239"/>
      <w:bookmarkEnd w:id="240"/>
      <w:bookmarkEnd w:id="241"/>
      <w:bookmarkEnd w:id="242"/>
      <w:bookmarkEnd w:id="243"/>
    </w:p>
    <w:p w14:paraId="37BE5A94">
      <w:pPr>
        <w:pStyle w:val="2"/>
        <w:spacing w:before="120" w:beforeLines="50" w:after="120" w:afterLines="50" w:line="240" w:lineRule="auto"/>
        <w:jc w:val="center"/>
        <w:rPr>
          <w:b w:val="0"/>
          <w:bCs w:val="0"/>
          <w:color w:val="000000" w:themeColor="text1"/>
        </w:rPr>
      </w:pPr>
      <w:r>
        <w:rPr>
          <w:color w:val="000000" w:themeColor="text1"/>
        </w:rPr>
        <w:br w:type="page"/>
      </w:r>
      <w:bookmarkStart w:id="244" w:name="_Toc27492"/>
      <w:bookmarkStart w:id="245" w:name="_Toc23734"/>
      <w:bookmarkStart w:id="246" w:name="_Toc234744448"/>
      <w:bookmarkStart w:id="247" w:name="_Toc234675080"/>
      <w:r>
        <w:rPr>
          <w:rFonts w:hint="eastAsia" w:cs="黑体"/>
          <w:b w:val="0"/>
          <w:bCs w:val="0"/>
          <w:color w:val="000000" w:themeColor="text1"/>
        </w:rPr>
        <w:t>第一节通用合同条款</w:t>
      </w:r>
      <w:bookmarkEnd w:id="244"/>
      <w:bookmarkEnd w:id="245"/>
    </w:p>
    <w:p w14:paraId="52A725C8">
      <w:pPr>
        <w:rPr>
          <w:color w:val="000000" w:themeColor="text1"/>
          <w:sz w:val="48"/>
          <w:szCs w:val="48"/>
        </w:rPr>
      </w:pPr>
    </w:p>
    <w:p w14:paraId="654A3EAC">
      <w:pPr>
        <w:rPr>
          <w:color w:val="000000" w:themeColor="text1"/>
          <w:sz w:val="48"/>
          <w:szCs w:val="48"/>
        </w:rPr>
      </w:pPr>
    </w:p>
    <w:p w14:paraId="49AF6145">
      <w:pPr>
        <w:ind w:firstLine="560" w:firstLineChars="200"/>
        <w:rPr>
          <w:color w:val="000000" w:themeColor="text1"/>
          <w:sz w:val="28"/>
          <w:szCs w:val="28"/>
        </w:rPr>
      </w:pPr>
      <w:r>
        <w:rPr>
          <w:rFonts w:hint="eastAsia" w:cs="宋体"/>
          <w:color w:val="000000" w:themeColor="text1"/>
          <w:sz w:val="28"/>
          <w:szCs w:val="28"/>
        </w:rPr>
        <w:t>“通用合同条款”采用国家九部委《标准施工招标文件》</w:t>
      </w:r>
      <w:r>
        <w:rPr>
          <w:color w:val="000000" w:themeColor="text1"/>
          <w:sz w:val="28"/>
          <w:szCs w:val="28"/>
        </w:rPr>
        <w:t>(2007</w:t>
      </w:r>
      <w:r>
        <w:rPr>
          <w:rFonts w:hint="eastAsia" w:cs="宋体"/>
          <w:color w:val="000000" w:themeColor="text1"/>
          <w:sz w:val="28"/>
          <w:szCs w:val="28"/>
        </w:rPr>
        <w:t>年版</w:t>
      </w:r>
      <w:r>
        <w:rPr>
          <w:color w:val="000000" w:themeColor="text1"/>
          <w:sz w:val="28"/>
          <w:szCs w:val="28"/>
        </w:rPr>
        <w:t>)</w:t>
      </w:r>
      <w:r>
        <w:rPr>
          <w:rFonts w:hint="eastAsia" w:cs="宋体"/>
          <w:color w:val="000000" w:themeColor="text1"/>
          <w:sz w:val="28"/>
          <w:szCs w:val="28"/>
        </w:rPr>
        <w:t>“通用合同条款”。</w:t>
      </w:r>
    </w:p>
    <w:p w14:paraId="331A28E1">
      <w:pPr>
        <w:rPr>
          <w:color w:val="000000" w:themeColor="text1"/>
          <w:sz w:val="32"/>
          <w:szCs w:val="32"/>
        </w:rPr>
        <w:sectPr>
          <w:pgSz w:w="11906" w:h="16838"/>
          <w:pgMar w:top="1389" w:right="1474" w:bottom="1389" w:left="1644" w:header="851" w:footer="992" w:gutter="0"/>
          <w:cols w:space="720" w:num="1"/>
        </w:sectPr>
      </w:pPr>
    </w:p>
    <w:p w14:paraId="3B9443FE">
      <w:pPr>
        <w:pStyle w:val="2"/>
        <w:spacing w:before="120" w:beforeLines="50" w:after="120" w:afterLines="50" w:line="240" w:lineRule="auto"/>
        <w:jc w:val="center"/>
        <w:rPr>
          <w:b w:val="0"/>
          <w:bCs w:val="0"/>
          <w:color w:val="000000" w:themeColor="text1"/>
        </w:rPr>
      </w:pPr>
      <w:bookmarkStart w:id="248" w:name="_Toc15217"/>
      <w:bookmarkStart w:id="249" w:name="_Toc18586"/>
      <w:r>
        <w:rPr>
          <w:rFonts w:hint="eastAsia" w:cs="黑体"/>
          <w:b w:val="0"/>
          <w:bCs w:val="0"/>
          <w:color w:val="000000" w:themeColor="text1"/>
        </w:rPr>
        <w:t>第二节专用合同条款</w:t>
      </w:r>
      <w:bookmarkEnd w:id="248"/>
      <w:bookmarkEnd w:id="249"/>
    </w:p>
    <w:p w14:paraId="04228028">
      <w:pPr>
        <w:rPr>
          <w:color w:val="000000" w:themeColor="text1"/>
          <w:sz w:val="48"/>
          <w:szCs w:val="48"/>
        </w:rPr>
      </w:pPr>
    </w:p>
    <w:p w14:paraId="6EB8B6D3">
      <w:pPr>
        <w:pStyle w:val="2"/>
        <w:spacing w:before="0" w:after="0" w:line="240" w:lineRule="auto"/>
        <w:jc w:val="center"/>
        <w:rPr>
          <w:b w:val="0"/>
          <w:bCs w:val="0"/>
          <w:color w:val="000000" w:themeColor="text1"/>
          <w:sz w:val="36"/>
          <w:szCs w:val="36"/>
        </w:rPr>
      </w:pPr>
      <w:bookmarkStart w:id="250" w:name="_Toc460366512"/>
      <w:bookmarkStart w:id="251" w:name="_Toc16167"/>
      <w:bookmarkStart w:id="252" w:name="_Toc237"/>
      <w:r>
        <w:rPr>
          <w:b w:val="0"/>
          <w:bCs w:val="0"/>
          <w:color w:val="000000" w:themeColor="text1"/>
          <w:sz w:val="36"/>
          <w:szCs w:val="36"/>
        </w:rPr>
        <w:t>A</w:t>
      </w:r>
      <w:r>
        <w:rPr>
          <w:rFonts w:hint="eastAsia" w:cs="黑体"/>
          <w:b w:val="0"/>
          <w:bCs w:val="0"/>
          <w:color w:val="000000" w:themeColor="text1"/>
          <w:sz w:val="36"/>
          <w:szCs w:val="36"/>
        </w:rPr>
        <w:t>．专用合同条款</w:t>
      </w:r>
      <w:bookmarkEnd w:id="250"/>
      <w:bookmarkEnd w:id="251"/>
      <w:bookmarkEnd w:id="252"/>
    </w:p>
    <w:p w14:paraId="3C1256C7">
      <w:pPr>
        <w:rPr>
          <w:color w:val="000000" w:themeColor="text1"/>
          <w:sz w:val="48"/>
          <w:szCs w:val="48"/>
        </w:rPr>
      </w:pPr>
    </w:p>
    <w:p w14:paraId="5B6FBB0E">
      <w:pPr>
        <w:rPr>
          <w:color w:val="000000" w:themeColor="text1"/>
          <w:sz w:val="48"/>
          <w:szCs w:val="48"/>
        </w:rPr>
      </w:pPr>
    </w:p>
    <w:p w14:paraId="5B6BD77E">
      <w:pPr>
        <w:rPr>
          <w:color w:val="000000" w:themeColor="text1"/>
          <w:sz w:val="28"/>
          <w:szCs w:val="28"/>
        </w:rPr>
        <w:sectPr>
          <w:pgSz w:w="11906" w:h="16838"/>
          <w:pgMar w:top="1389" w:right="1474" w:bottom="1389" w:left="1644" w:header="851" w:footer="992" w:gutter="0"/>
          <w:cols w:space="720" w:num="1"/>
        </w:sectPr>
      </w:pPr>
      <w:r>
        <w:rPr>
          <w:rFonts w:hint="eastAsia" w:cs="宋体"/>
          <w:color w:val="000000" w:themeColor="text1"/>
          <w:sz w:val="28"/>
          <w:szCs w:val="28"/>
        </w:rPr>
        <w:t>“</w:t>
      </w:r>
      <w:r>
        <w:rPr>
          <w:color w:val="000000" w:themeColor="text1"/>
          <w:sz w:val="28"/>
          <w:szCs w:val="28"/>
        </w:rPr>
        <w:t>A</w:t>
      </w:r>
      <w:r>
        <w:rPr>
          <w:rFonts w:hint="eastAsia" w:cs="宋体"/>
          <w:color w:val="000000" w:themeColor="text1"/>
          <w:sz w:val="28"/>
          <w:szCs w:val="28"/>
        </w:rPr>
        <w:t>．专用合同条款“的内容详见《江苏省公路水运工程建设项目房建工程标准施工招标文件（2019年版）》（以下简称《房建工程标准施工招标文件》）。</w:t>
      </w:r>
    </w:p>
    <w:p w14:paraId="0C4840CA">
      <w:pPr>
        <w:pStyle w:val="2"/>
        <w:spacing w:before="120" w:beforeLines="50" w:after="120" w:afterLines="50" w:line="240" w:lineRule="auto"/>
        <w:jc w:val="center"/>
        <w:rPr>
          <w:rFonts w:cs="黑体"/>
          <w:b w:val="0"/>
          <w:bCs w:val="0"/>
          <w:color w:val="000000" w:themeColor="text1"/>
          <w:sz w:val="36"/>
          <w:szCs w:val="36"/>
        </w:rPr>
      </w:pPr>
      <w:bookmarkStart w:id="253" w:name="_Toc12836"/>
      <w:bookmarkStart w:id="254" w:name="_Toc4572"/>
      <w:bookmarkStart w:id="255" w:name="_Toc460366513"/>
      <w:r>
        <w:rPr>
          <w:b w:val="0"/>
          <w:bCs w:val="0"/>
          <w:color w:val="000000" w:themeColor="text1"/>
          <w:sz w:val="36"/>
          <w:szCs w:val="36"/>
        </w:rPr>
        <w:t>B</w:t>
      </w:r>
      <w:r>
        <w:rPr>
          <w:rFonts w:hint="eastAsia" w:cs="黑体"/>
          <w:b w:val="0"/>
          <w:bCs w:val="0"/>
          <w:color w:val="000000" w:themeColor="text1"/>
          <w:sz w:val="36"/>
          <w:szCs w:val="36"/>
        </w:rPr>
        <w:t>．</w:t>
      </w:r>
      <w:bookmarkEnd w:id="246"/>
      <w:bookmarkEnd w:id="247"/>
      <w:bookmarkStart w:id="256" w:name="_Toc234744454"/>
      <w:bookmarkStart w:id="257" w:name="_Toc234675086"/>
      <w:r>
        <w:rPr>
          <w:rFonts w:hint="eastAsia" w:cs="黑体"/>
          <w:b w:val="0"/>
          <w:bCs w:val="0"/>
          <w:color w:val="000000" w:themeColor="text1"/>
          <w:sz w:val="36"/>
          <w:szCs w:val="36"/>
        </w:rPr>
        <w:t>项目专用合同条款</w:t>
      </w:r>
      <w:bookmarkEnd w:id="253"/>
      <w:bookmarkEnd w:id="254"/>
      <w:bookmarkEnd w:id="255"/>
      <w:bookmarkEnd w:id="256"/>
      <w:bookmarkEnd w:id="257"/>
    </w:p>
    <w:p w14:paraId="4490284A">
      <w:pPr>
        <w:rPr>
          <w:color w:val="000000" w:themeColor="text1"/>
        </w:rPr>
      </w:pPr>
    </w:p>
    <w:p w14:paraId="7C585F39">
      <w:pPr>
        <w:spacing w:line="360" w:lineRule="auto"/>
        <w:ind w:firstLine="420" w:firstLineChars="200"/>
        <w:rPr>
          <w:rFonts w:ascii="宋体" w:hAnsi="宋体" w:cs="宋体"/>
          <w:color w:val="000000" w:themeColor="text1"/>
        </w:rPr>
      </w:pPr>
      <w:bookmarkStart w:id="258" w:name="_Toc460366514"/>
      <w:bookmarkStart w:id="259" w:name="_Toc26518"/>
      <w:bookmarkStart w:id="260" w:name="_Toc234744455"/>
      <w:bookmarkStart w:id="261" w:name="_Toc234675087"/>
      <w:bookmarkStart w:id="262" w:name="_Toc508615710"/>
      <w:bookmarkStart w:id="263" w:name="_Toc238559204"/>
      <w:r>
        <w:rPr>
          <w:rFonts w:hint="eastAsia" w:ascii="宋体" w:hAnsi="宋体" w:cs="宋体"/>
          <w:color w:val="000000" w:themeColor="text1"/>
        </w:rPr>
        <w:t>说明：</w:t>
      </w:r>
    </w:p>
    <w:p w14:paraId="2C2063B8">
      <w:pPr>
        <w:spacing w:line="360" w:lineRule="auto"/>
        <w:ind w:firstLine="420" w:firstLineChars="200"/>
        <w:rPr>
          <w:rFonts w:ascii="宋体" w:hAnsi="宋体" w:cs="宋体"/>
          <w:color w:val="000000" w:themeColor="text1"/>
        </w:rPr>
      </w:pPr>
      <w:r>
        <w:rPr>
          <w:rFonts w:hint="eastAsia" w:ascii="宋体" w:hAnsi="宋体" w:cs="宋体"/>
          <w:color w:val="000000" w:themeColor="text1"/>
        </w:rPr>
        <w:t>1.招标人在根据《房建工程标准施工招标文件》编制项目招标文件中的“项目专用合同条款”时，可根据招标项目的具体特点和实际需要，对“通用合同条款”及“房建工程专用合同条款”进行补充和细化，除“通用合同条款”及“房建工程专用合同条款”明确“项目专用合同条款”可作出不同约定外，补充和细化的内容不得与“通用合同条款”及“房建工程专用合同条款”强制性规定相抵触。同时，补充、细化或约定的内容，不得违反法律、行政法规的强制性规定和平等、自愿、公平和诚实信用原则。</w:t>
      </w:r>
    </w:p>
    <w:p w14:paraId="168739C4">
      <w:pPr>
        <w:spacing w:line="360" w:lineRule="auto"/>
        <w:ind w:firstLine="420" w:firstLineChars="200"/>
        <w:rPr>
          <w:rFonts w:ascii="宋体" w:hAnsi="宋体" w:cs="宋体"/>
          <w:color w:val="000000" w:themeColor="text1"/>
        </w:rPr>
      </w:pPr>
      <w:r>
        <w:rPr>
          <w:rFonts w:hint="eastAsia" w:ascii="宋体" w:hAnsi="宋体" w:cs="宋体"/>
          <w:color w:val="000000" w:themeColor="text1"/>
        </w:rPr>
        <w:t>2.项目专用合同条款的编号应与通用合同条款和房建工程专用合同条款一致。</w:t>
      </w:r>
    </w:p>
    <w:p w14:paraId="5AB44C44">
      <w:pPr>
        <w:spacing w:line="360" w:lineRule="auto"/>
        <w:ind w:firstLine="420" w:firstLineChars="200"/>
        <w:rPr>
          <w:rFonts w:ascii="宋体" w:hAnsi="宋体" w:cs="宋体"/>
          <w:color w:val="000000" w:themeColor="text1"/>
        </w:rPr>
      </w:pPr>
      <w:r>
        <w:rPr>
          <w:rFonts w:hint="eastAsia" w:ascii="宋体" w:hAnsi="宋体" w:cs="宋体"/>
          <w:color w:val="000000" w:themeColor="text1"/>
        </w:rPr>
        <w:t>3.项目专用合同条款可对下列内容进行补充和细化：</w:t>
      </w:r>
    </w:p>
    <w:p w14:paraId="3BE13AB2">
      <w:pPr>
        <w:spacing w:line="360" w:lineRule="auto"/>
        <w:ind w:firstLine="420" w:firstLineChars="200"/>
        <w:rPr>
          <w:rFonts w:ascii="宋体" w:hAnsi="宋体" w:cs="宋体"/>
          <w:color w:val="000000" w:themeColor="text1"/>
        </w:rPr>
      </w:pPr>
      <w:r>
        <w:rPr>
          <w:rFonts w:hint="eastAsia" w:ascii="宋体" w:hAnsi="宋体" w:cs="宋体"/>
          <w:color w:val="000000" w:themeColor="text1"/>
        </w:rPr>
        <w:t>（1）“通用合同条款”中明确指出“专用合同条款”可对“通用合同条款”进行修改的内容（在“通用合同条款”中用“应按合同约定”“应按专用合同条款约定”“除合同另有约定外”“除专用合同条款另有约定外”“在专用合同条款中约定”等多种文字形式表达），但“房建工程专用合同条款”对此内容已有明确规定的除外；</w:t>
      </w:r>
    </w:p>
    <w:p w14:paraId="5C64F5F6">
      <w:pPr>
        <w:spacing w:line="360" w:lineRule="auto"/>
        <w:ind w:firstLine="420" w:firstLineChars="200"/>
        <w:rPr>
          <w:rFonts w:ascii="宋体" w:hAnsi="宋体" w:cs="宋体"/>
          <w:color w:val="000000" w:themeColor="text1"/>
        </w:rPr>
      </w:pPr>
      <w:r>
        <w:rPr>
          <w:rFonts w:hint="eastAsia" w:ascii="宋体" w:hAnsi="宋体" w:cs="宋体"/>
          <w:color w:val="000000" w:themeColor="text1"/>
        </w:rPr>
        <w:t>（2）“房建工程专用合同条款”中明确指出“项目专用合同条款”可对“房建工程专用合同条款”进行修改的内容（在“房建工程专用合同条款”中用“除项目专用合同条款另有约定外”“项目专用合同条款可能约定的”“项目专用合同条款约定的其他情形”等多种文字形式表达）。</w:t>
      </w:r>
    </w:p>
    <w:p w14:paraId="6E21E5A3">
      <w:pPr>
        <w:spacing w:line="360" w:lineRule="auto"/>
        <w:ind w:firstLine="420" w:firstLineChars="200"/>
        <w:rPr>
          <w:rFonts w:cs="宋体"/>
          <w:b/>
          <w:bCs/>
          <w:color w:val="000000" w:themeColor="text1"/>
          <w:sz w:val="32"/>
          <w:szCs w:val="32"/>
        </w:rPr>
      </w:pPr>
      <w:r>
        <w:rPr>
          <w:rFonts w:hint="eastAsia" w:ascii="宋体" w:hAnsi="宋体" w:cs="宋体"/>
          <w:color w:val="000000" w:themeColor="text1"/>
        </w:rPr>
        <w:t>（3）其他需要补充、细化的内容。</w:t>
      </w:r>
      <w:r>
        <w:rPr>
          <w:rFonts w:hint="eastAsia" w:cs="宋体"/>
          <w:b/>
          <w:bCs/>
          <w:color w:val="000000" w:themeColor="text1"/>
          <w:sz w:val="32"/>
          <w:szCs w:val="32"/>
        </w:rPr>
        <w:br w:type="page"/>
      </w:r>
    </w:p>
    <w:p w14:paraId="6CD58B7C">
      <w:pPr>
        <w:pStyle w:val="145"/>
        <w:spacing w:before="120"/>
        <w:jc w:val="center"/>
        <w:rPr>
          <w:rFonts w:eastAsia="宋体"/>
          <w:b/>
          <w:bCs/>
          <w:color w:val="000000" w:themeColor="text1"/>
          <w:sz w:val="32"/>
          <w:szCs w:val="32"/>
        </w:rPr>
      </w:pPr>
      <w:r>
        <w:rPr>
          <w:rFonts w:hint="eastAsia" w:eastAsia="宋体" w:cs="宋体"/>
          <w:b/>
          <w:bCs/>
          <w:color w:val="000000" w:themeColor="text1"/>
          <w:sz w:val="32"/>
          <w:szCs w:val="32"/>
        </w:rPr>
        <w:t>项目专用合同条款数据表</w:t>
      </w:r>
      <w:bookmarkEnd w:id="258"/>
      <w:bookmarkEnd w:id="259"/>
      <w:bookmarkEnd w:id="260"/>
      <w:bookmarkEnd w:id="261"/>
      <w:bookmarkEnd w:id="262"/>
      <w:bookmarkEnd w:id="263"/>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993"/>
        <w:gridCol w:w="7333"/>
      </w:tblGrid>
      <w:tr w14:paraId="33715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2FA3F67F">
            <w:pPr>
              <w:jc w:val="center"/>
              <w:rPr>
                <w:rFonts w:ascii="宋体" w:hAnsi="宋体" w:cs="宋体"/>
                <w:color w:val="000000" w:themeColor="text1"/>
              </w:rPr>
            </w:pPr>
            <w:r>
              <w:rPr>
                <w:rFonts w:hint="eastAsia" w:ascii="宋体" w:hAnsi="宋体" w:cs="宋体"/>
                <w:color w:val="000000" w:themeColor="text1"/>
              </w:rPr>
              <w:t>序号</w:t>
            </w:r>
          </w:p>
        </w:tc>
        <w:tc>
          <w:tcPr>
            <w:tcW w:w="993" w:type="dxa"/>
            <w:vAlign w:val="center"/>
          </w:tcPr>
          <w:p w14:paraId="23283F90">
            <w:pPr>
              <w:jc w:val="center"/>
              <w:rPr>
                <w:rFonts w:ascii="宋体" w:hAnsi="宋体" w:cs="宋体"/>
                <w:color w:val="000000" w:themeColor="text1"/>
              </w:rPr>
            </w:pPr>
            <w:r>
              <w:rPr>
                <w:rFonts w:hint="eastAsia" w:ascii="宋体" w:hAnsi="宋体" w:cs="宋体"/>
                <w:color w:val="000000" w:themeColor="text1"/>
              </w:rPr>
              <w:t>条目号</w:t>
            </w:r>
          </w:p>
        </w:tc>
        <w:tc>
          <w:tcPr>
            <w:tcW w:w="7333" w:type="dxa"/>
            <w:vAlign w:val="center"/>
          </w:tcPr>
          <w:p w14:paraId="176C8A05">
            <w:pPr>
              <w:jc w:val="center"/>
              <w:rPr>
                <w:rFonts w:ascii="宋体" w:hAnsi="宋体" w:cs="宋体"/>
                <w:color w:val="000000" w:themeColor="text1"/>
              </w:rPr>
            </w:pPr>
            <w:r>
              <w:rPr>
                <w:rFonts w:hint="eastAsia" w:ascii="宋体" w:hAnsi="宋体" w:cs="宋体"/>
                <w:color w:val="000000" w:themeColor="text1"/>
              </w:rPr>
              <w:t>编列内容</w:t>
            </w:r>
          </w:p>
        </w:tc>
      </w:tr>
      <w:tr w14:paraId="5455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673" w:type="dxa"/>
            <w:vAlign w:val="center"/>
          </w:tcPr>
          <w:p w14:paraId="02808B77">
            <w:pPr>
              <w:jc w:val="center"/>
              <w:rPr>
                <w:rFonts w:ascii="宋体" w:hAnsi="宋体" w:cs="宋体"/>
                <w:color w:val="000000" w:themeColor="text1"/>
              </w:rPr>
            </w:pPr>
            <w:r>
              <w:rPr>
                <w:rFonts w:hint="eastAsia" w:ascii="宋体" w:hAnsi="宋体" w:cs="宋体"/>
                <w:color w:val="000000" w:themeColor="text1"/>
              </w:rPr>
              <w:t>1</w:t>
            </w:r>
          </w:p>
        </w:tc>
        <w:tc>
          <w:tcPr>
            <w:tcW w:w="993" w:type="dxa"/>
            <w:vAlign w:val="center"/>
          </w:tcPr>
          <w:p w14:paraId="2D207ADC">
            <w:pPr>
              <w:jc w:val="center"/>
              <w:rPr>
                <w:rFonts w:ascii="宋体" w:hAnsi="宋体" w:cs="宋体"/>
                <w:color w:val="000000" w:themeColor="text1"/>
              </w:rPr>
            </w:pPr>
            <w:r>
              <w:rPr>
                <w:rFonts w:hint="eastAsia" w:ascii="宋体" w:hAnsi="宋体" w:cs="宋体"/>
                <w:color w:val="000000" w:themeColor="text1"/>
              </w:rPr>
              <w:t>1.1.2.2</w:t>
            </w:r>
          </w:p>
        </w:tc>
        <w:tc>
          <w:tcPr>
            <w:tcW w:w="7333" w:type="dxa"/>
            <w:vAlign w:val="center"/>
          </w:tcPr>
          <w:p w14:paraId="7FF344AD">
            <w:pPr>
              <w:rPr>
                <w:rFonts w:ascii="宋体" w:hAnsi="宋体" w:cs="宋体"/>
                <w:snapToGrid w:val="0"/>
                <w:color w:val="000000" w:themeColor="text1"/>
                <w:kern w:val="0"/>
              </w:rPr>
            </w:pPr>
            <w:r>
              <w:rPr>
                <w:rFonts w:hint="eastAsia" w:ascii="宋体" w:hAnsi="宋体" w:cs="宋体"/>
                <w:snapToGrid w:val="0"/>
                <w:color w:val="000000" w:themeColor="text1"/>
                <w:kern w:val="0"/>
              </w:rPr>
              <w:t>发包人：南通市港航事业发展中心</w:t>
            </w:r>
          </w:p>
          <w:p w14:paraId="235406BC">
            <w:pPr>
              <w:rPr>
                <w:rFonts w:ascii="宋体" w:hAnsi="宋体" w:cs="宋体"/>
                <w:snapToGrid w:val="0"/>
                <w:color w:val="000000" w:themeColor="text1"/>
                <w:kern w:val="0"/>
              </w:rPr>
            </w:pPr>
            <w:r>
              <w:rPr>
                <w:rFonts w:hint="eastAsia" w:ascii="宋体" w:hAnsi="宋体" w:cs="宋体"/>
                <w:snapToGrid w:val="0"/>
                <w:color w:val="000000" w:themeColor="text1"/>
                <w:kern w:val="0"/>
              </w:rPr>
              <w:t xml:space="preserve">地  址：海门区静海路165号 </w:t>
            </w:r>
          </w:p>
          <w:p w14:paraId="5A2075BF">
            <w:pPr>
              <w:rPr>
                <w:rFonts w:ascii="宋体" w:hAnsi="宋体" w:cs="宋体"/>
                <w:snapToGrid w:val="0"/>
                <w:color w:val="000000" w:themeColor="text1"/>
                <w:kern w:val="0"/>
              </w:rPr>
            </w:pPr>
            <w:r>
              <w:rPr>
                <w:rFonts w:hint="eastAsia" w:ascii="宋体" w:hAnsi="宋体" w:cs="宋体"/>
                <w:snapToGrid w:val="0"/>
                <w:color w:val="000000" w:themeColor="text1"/>
                <w:kern w:val="0"/>
              </w:rPr>
              <w:t>联 系 人：王峰</w:t>
            </w:r>
            <w:r>
              <w:rPr>
                <w:rFonts w:hint="eastAsia" w:ascii="宋体" w:hAnsi="宋体" w:cs="宋体"/>
                <w:snapToGrid w:val="0"/>
                <w:color w:val="000000" w:themeColor="text1"/>
                <w:kern w:val="0"/>
              </w:rPr>
              <w:tab/>
            </w:r>
          </w:p>
          <w:p w14:paraId="2F804FB0">
            <w:pPr>
              <w:rPr>
                <w:rFonts w:ascii="宋体" w:hAnsi="宋体" w:cs="宋体"/>
                <w:color w:val="000000" w:themeColor="text1"/>
              </w:rPr>
            </w:pPr>
            <w:r>
              <w:rPr>
                <w:rFonts w:hint="eastAsia" w:ascii="宋体" w:hAnsi="宋体" w:cs="宋体"/>
                <w:snapToGrid w:val="0"/>
                <w:color w:val="000000" w:themeColor="text1"/>
                <w:kern w:val="0"/>
              </w:rPr>
              <w:t>电   话： 0513-82215778</w:t>
            </w:r>
          </w:p>
        </w:tc>
      </w:tr>
      <w:tr w14:paraId="7578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673" w:type="dxa"/>
            <w:vAlign w:val="center"/>
          </w:tcPr>
          <w:p w14:paraId="47132944">
            <w:pPr>
              <w:jc w:val="center"/>
              <w:rPr>
                <w:rFonts w:ascii="宋体" w:hAnsi="宋体" w:cs="宋体"/>
                <w:color w:val="000000" w:themeColor="text1"/>
              </w:rPr>
            </w:pPr>
            <w:r>
              <w:rPr>
                <w:rFonts w:hint="eastAsia" w:ascii="宋体" w:hAnsi="宋体" w:cs="宋体"/>
                <w:color w:val="000000" w:themeColor="text1"/>
              </w:rPr>
              <w:t>2</w:t>
            </w:r>
          </w:p>
        </w:tc>
        <w:tc>
          <w:tcPr>
            <w:tcW w:w="993" w:type="dxa"/>
            <w:vAlign w:val="center"/>
          </w:tcPr>
          <w:p w14:paraId="274B5064">
            <w:pPr>
              <w:jc w:val="center"/>
              <w:rPr>
                <w:rFonts w:ascii="宋体" w:hAnsi="宋体" w:cs="宋体"/>
                <w:color w:val="000000" w:themeColor="text1"/>
              </w:rPr>
            </w:pPr>
            <w:r>
              <w:rPr>
                <w:rFonts w:hint="eastAsia" w:ascii="宋体" w:hAnsi="宋体" w:cs="宋体"/>
                <w:color w:val="000000" w:themeColor="text1"/>
              </w:rPr>
              <w:t>1.1.2.6</w:t>
            </w:r>
          </w:p>
        </w:tc>
        <w:tc>
          <w:tcPr>
            <w:tcW w:w="7333" w:type="dxa"/>
            <w:vAlign w:val="center"/>
          </w:tcPr>
          <w:p w14:paraId="5CBE9B44">
            <w:pPr>
              <w:textAlignment w:val="baseline"/>
              <w:rPr>
                <w:rFonts w:ascii="宋体" w:hAnsi="宋体" w:cs="宋体"/>
                <w:snapToGrid w:val="0"/>
                <w:color w:val="000000" w:themeColor="text1"/>
                <w:kern w:val="0"/>
              </w:rPr>
            </w:pPr>
            <w:r>
              <w:rPr>
                <w:rFonts w:hint="eastAsia" w:ascii="宋体" w:hAnsi="宋体" w:cs="宋体"/>
                <w:snapToGrid w:val="0"/>
                <w:color w:val="000000" w:themeColor="text1"/>
                <w:kern w:val="0"/>
              </w:rPr>
              <w:t>监理人：将在合同协议书中明确</w:t>
            </w:r>
            <w:r>
              <w:rPr>
                <w:rFonts w:hint="eastAsia" w:ascii="宋体" w:hAnsi="宋体" w:cs="宋体"/>
                <w:color w:val="000000" w:themeColor="text1"/>
              </w:rPr>
              <w:t>。</w:t>
            </w:r>
          </w:p>
        </w:tc>
      </w:tr>
      <w:tr w14:paraId="1932A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4DEDABC6">
            <w:pPr>
              <w:jc w:val="center"/>
              <w:rPr>
                <w:rFonts w:ascii="宋体" w:hAnsi="宋体" w:cs="宋体"/>
                <w:color w:val="000000" w:themeColor="text1"/>
              </w:rPr>
            </w:pPr>
            <w:r>
              <w:rPr>
                <w:rFonts w:hint="eastAsia" w:ascii="宋体" w:hAnsi="宋体" w:cs="宋体"/>
                <w:color w:val="000000" w:themeColor="text1"/>
              </w:rPr>
              <w:t>3</w:t>
            </w:r>
          </w:p>
        </w:tc>
        <w:tc>
          <w:tcPr>
            <w:tcW w:w="993" w:type="dxa"/>
            <w:vAlign w:val="center"/>
          </w:tcPr>
          <w:p w14:paraId="74455FFE">
            <w:pPr>
              <w:jc w:val="center"/>
              <w:rPr>
                <w:rFonts w:ascii="宋体" w:hAnsi="宋体" w:cs="宋体"/>
                <w:color w:val="000000" w:themeColor="text1"/>
              </w:rPr>
            </w:pPr>
            <w:r>
              <w:rPr>
                <w:rFonts w:hint="eastAsia" w:ascii="宋体" w:hAnsi="宋体" w:cs="宋体"/>
                <w:color w:val="000000" w:themeColor="text1"/>
              </w:rPr>
              <w:t>1.1.4.5</w:t>
            </w:r>
          </w:p>
        </w:tc>
        <w:tc>
          <w:tcPr>
            <w:tcW w:w="7333" w:type="dxa"/>
            <w:vAlign w:val="center"/>
          </w:tcPr>
          <w:p w14:paraId="12167539">
            <w:pPr>
              <w:textAlignment w:val="baseline"/>
              <w:rPr>
                <w:rFonts w:ascii="宋体" w:hAnsi="宋体" w:cs="宋体"/>
                <w:snapToGrid w:val="0"/>
                <w:color w:val="000000" w:themeColor="text1"/>
                <w:kern w:val="0"/>
              </w:rPr>
            </w:pPr>
            <w:r>
              <w:rPr>
                <w:rFonts w:hint="eastAsia" w:ascii="宋体" w:hAnsi="宋体" w:cs="宋体"/>
                <w:snapToGrid w:val="0"/>
                <w:color w:val="000000" w:themeColor="text1"/>
                <w:kern w:val="0"/>
              </w:rPr>
              <w:t>缺陷责任期：自实际验收合格之日起计算</w:t>
            </w:r>
            <w:r>
              <w:rPr>
                <w:rFonts w:hint="eastAsia" w:ascii="宋体" w:hAnsi="宋体" w:cs="宋体"/>
                <w:color w:val="000000" w:themeColor="text1"/>
              </w:rPr>
              <w:t>24个月</w:t>
            </w:r>
            <w:r>
              <w:rPr>
                <w:rFonts w:hint="eastAsia" w:ascii="宋体" w:hAnsi="宋体" w:cs="宋体"/>
                <w:snapToGrid w:val="0"/>
                <w:color w:val="000000" w:themeColor="text1"/>
                <w:kern w:val="0"/>
              </w:rPr>
              <w:t>。</w:t>
            </w:r>
          </w:p>
        </w:tc>
      </w:tr>
      <w:tr w14:paraId="6040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3738D179">
            <w:pPr>
              <w:jc w:val="center"/>
              <w:rPr>
                <w:rFonts w:ascii="宋体" w:hAnsi="宋体" w:cs="宋体"/>
                <w:color w:val="000000" w:themeColor="text1"/>
              </w:rPr>
            </w:pPr>
            <w:r>
              <w:rPr>
                <w:rFonts w:hint="eastAsia" w:ascii="宋体" w:hAnsi="宋体" w:cs="宋体"/>
                <w:color w:val="000000" w:themeColor="text1"/>
              </w:rPr>
              <w:t>4</w:t>
            </w:r>
          </w:p>
        </w:tc>
        <w:tc>
          <w:tcPr>
            <w:tcW w:w="993" w:type="dxa"/>
            <w:vAlign w:val="center"/>
          </w:tcPr>
          <w:p w14:paraId="64F69C74">
            <w:pPr>
              <w:jc w:val="center"/>
              <w:rPr>
                <w:rFonts w:ascii="宋体" w:hAnsi="宋体" w:cs="宋体"/>
                <w:color w:val="000000" w:themeColor="text1"/>
              </w:rPr>
            </w:pPr>
            <w:r>
              <w:rPr>
                <w:rFonts w:hint="eastAsia" w:ascii="宋体" w:hAnsi="宋体" w:cs="宋体"/>
                <w:color w:val="000000" w:themeColor="text1"/>
              </w:rPr>
              <w:t>5.2.1</w:t>
            </w:r>
          </w:p>
        </w:tc>
        <w:tc>
          <w:tcPr>
            <w:tcW w:w="7333" w:type="dxa"/>
            <w:vAlign w:val="center"/>
          </w:tcPr>
          <w:p w14:paraId="0C53572D">
            <w:pPr>
              <w:rPr>
                <w:rFonts w:ascii="宋体" w:hAnsi="宋体" w:cs="宋体"/>
                <w:snapToGrid w:val="0"/>
                <w:color w:val="000000" w:themeColor="text1"/>
                <w:kern w:val="0"/>
              </w:rPr>
            </w:pPr>
            <w:r>
              <w:rPr>
                <w:rFonts w:hint="eastAsia" w:ascii="宋体" w:hAnsi="宋体" w:cs="宋体"/>
                <w:color w:val="000000" w:themeColor="text1"/>
              </w:rPr>
              <w:t>发包人是否提供材料和工程设备：</w:t>
            </w:r>
            <w:r>
              <w:rPr>
                <w:rFonts w:hint="eastAsia" w:ascii="宋体" w:hAnsi="宋体" w:cs="宋体"/>
                <w:color w:val="000000" w:themeColor="text1"/>
                <w:u w:val="single"/>
              </w:rPr>
              <w:t>不提供。</w:t>
            </w:r>
          </w:p>
        </w:tc>
      </w:tr>
      <w:tr w14:paraId="27EE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7D40C223">
            <w:pPr>
              <w:jc w:val="center"/>
              <w:rPr>
                <w:rFonts w:ascii="宋体" w:hAnsi="宋体" w:cs="宋体"/>
                <w:color w:val="000000" w:themeColor="text1"/>
              </w:rPr>
            </w:pPr>
            <w:r>
              <w:rPr>
                <w:rFonts w:hint="eastAsia" w:ascii="宋体" w:hAnsi="宋体" w:cs="宋体"/>
                <w:color w:val="000000" w:themeColor="text1"/>
              </w:rPr>
              <w:t>5</w:t>
            </w:r>
          </w:p>
        </w:tc>
        <w:tc>
          <w:tcPr>
            <w:tcW w:w="993" w:type="dxa"/>
            <w:vAlign w:val="center"/>
          </w:tcPr>
          <w:p w14:paraId="232956E4">
            <w:pPr>
              <w:jc w:val="center"/>
              <w:rPr>
                <w:rFonts w:ascii="宋体" w:hAnsi="宋体" w:cs="宋体"/>
                <w:color w:val="000000" w:themeColor="text1"/>
              </w:rPr>
            </w:pPr>
            <w:r>
              <w:rPr>
                <w:rFonts w:hint="eastAsia" w:ascii="宋体" w:hAnsi="宋体" w:cs="宋体"/>
                <w:color w:val="000000" w:themeColor="text1"/>
              </w:rPr>
              <w:t>6.2</w:t>
            </w:r>
          </w:p>
        </w:tc>
        <w:tc>
          <w:tcPr>
            <w:tcW w:w="7333" w:type="dxa"/>
            <w:vAlign w:val="center"/>
          </w:tcPr>
          <w:p w14:paraId="2A85A0B7">
            <w:pPr>
              <w:rPr>
                <w:rFonts w:ascii="宋体" w:hAnsi="宋体" w:cs="宋体"/>
                <w:color w:val="000000" w:themeColor="text1"/>
              </w:rPr>
            </w:pPr>
            <w:r>
              <w:rPr>
                <w:rFonts w:hint="eastAsia" w:ascii="宋体" w:hAnsi="宋体" w:cs="宋体"/>
                <w:color w:val="000000" w:themeColor="text1"/>
              </w:rPr>
              <w:t>发包人是否提供施工设备和临时设备：否。</w:t>
            </w:r>
          </w:p>
        </w:tc>
      </w:tr>
      <w:tr w14:paraId="13DB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21E70F04">
            <w:pPr>
              <w:jc w:val="center"/>
              <w:rPr>
                <w:rFonts w:ascii="宋体" w:hAnsi="宋体" w:cs="宋体"/>
                <w:color w:val="000000" w:themeColor="text1"/>
              </w:rPr>
            </w:pPr>
            <w:r>
              <w:rPr>
                <w:rFonts w:hint="eastAsia" w:ascii="宋体" w:hAnsi="宋体" w:cs="宋体"/>
                <w:color w:val="000000" w:themeColor="text1"/>
              </w:rPr>
              <w:t>6</w:t>
            </w:r>
          </w:p>
        </w:tc>
        <w:tc>
          <w:tcPr>
            <w:tcW w:w="993" w:type="dxa"/>
            <w:vAlign w:val="center"/>
          </w:tcPr>
          <w:p w14:paraId="398DAD76">
            <w:pPr>
              <w:jc w:val="center"/>
              <w:rPr>
                <w:rFonts w:ascii="宋体" w:hAnsi="宋体" w:cs="宋体"/>
                <w:color w:val="000000" w:themeColor="text1"/>
              </w:rPr>
            </w:pPr>
            <w:r>
              <w:rPr>
                <w:rFonts w:hint="eastAsia" w:ascii="宋体" w:hAnsi="宋体" w:cs="宋体"/>
                <w:color w:val="000000" w:themeColor="text1"/>
              </w:rPr>
              <w:t>11.5</w:t>
            </w:r>
          </w:p>
        </w:tc>
        <w:tc>
          <w:tcPr>
            <w:tcW w:w="7333" w:type="dxa"/>
            <w:vAlign w:val="center"/>
          </w:tcPr>
          <w:p w14:paraId="057060E3">
            <w:pPr>
              <w:rPr>
                <w:rFonts w:ascii="宋体" w:hAnsi="宋体" w:cs="宋体"/>
                <w:color w:val="000000" w:themeColor="text1"/>
              </w:rPr>
            </w:pPr>
            <w:r>
              <w:rPr>
                <w:rFonts w:hint="eastAsia" w:ascii="宋体" w:hAnsi="宋体" w:cs="宋体"/>
                <w:color w:val="000000" w:themeColor="text1"/>
              </w:rPr>
              <w:t>逾期交工违约金：人民币500元/天</w:t>
            </w:r>
          </w:p>
        </w:tc>
      </w:tr>
      <w:tr w14:paraId="02FE6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7DF3299B">
            <w:pPr>
              <w:jc w:val="center"/>
              <w:rPr>
                <w:rFonts w:ascii="宋体" w:hAnsi="宋体" w:cs="宋体"/>
                <w:color w:val="000000" w:themeColor="text1"/>
              </w:rPr>
            </w:pPr>
            <w:r>
              <w:rPr>
                <w:rFonts w:hint="eastAsia" w:ascii="宋体" w:hAnsi="宋体" w:cs="宋体"/>
                <w:color w:val="000000" w:themeColor="text1"/>
              </w:rPr>
              <w:t>7</w:t>
            </w:r>
          </w:p>
        </w:tc>
        <w:tc>
          <w:tcPr>
            <w:tcW w:w="993" w:type="dxa"/>
            <w:vAlign w:val="center"/>
          </w:tcPr>
          <w:p w14:paraId="2E613F7A">
            <w:pPr>
              <w:jc w:val="center"/>
              <w:rPr>
                <w:rFonts w:ascii="宋体" w:hAnsi="宋体" w:cs="宋体"/>
                <w:color w:val="000000" w:themeColor="text1"/>
              </w:rPr>
            </w:pPr>
            <w:r>
              <w:rPr>
                <w:rFonts w:hint="eastAsia" w:ascii="宋体" w:hAnsi="宋体" w:cs="宋体"/>
                <w:color w:val="000000" w:themeColor="text1"/>
              </w:rPr>
              <w:t>11.5</w:t>
            </w:r>
          </w:p>
        </w:tc>
        <w:tc>
          <w:tcPr>
            <w:tcW w:w="7333" w:type="dxa"/>
            <w:vAlign w:val="center"/>
          </w:tcPr>
          <w:p w14:paraId="738F5B9F">
            <w:pPr>
              <w:rPr>
                <w:rFonts w:ascii="宋体" w:hAnsi="宋体" w:cs="宋体"/>
                <w:color w:val="000000" w:themeColor="text1"/>
              </w:rPr>
            </w:pPr>
            <w:r>
              <w:rPr>
                <w:rFonts w:hint="eastAsia" w:ascii="宋体" w:hAnsi="宋体" w:cs="宋体"/>
                <w:color w:val="000000" w:themeColor="text1"/>
              </w:rPr>
              <w:t>逾期交工违约金限额：10%签约合同价</w:t>
            </w:r>
          </w:p>
        </w:tc>
      </w:tr>
      <w:tr w14:paraId="1B704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64842F15">
            <w:pPr>
              <w:jc w:val="center"/>
              <w:rPr>
                <w:rFonts w:ascii="宋体" w:hAnsi="宋体" w:cs="宋体"/>
                <w:color w:val="000000" w:themeColor="text1"/>
              </w:rPr>
            </w:pPr>
            <w:r>
              <w:rPr>
                <w:rFonts w:hint="eastAsia" w:ascii="宋体" w:hAnsi="宋体" w:cs="宋体"/>
                <w:color w:val="000000" w:themeColor="text1"/>
              </w:rPr>
              <w:t>8</w:t>
            </w:r>
          </w:p>
        </w:tc>
        <w:tc>
          <w:tcPr>
            <w:tcW w:w="993" w:type="dxa"/>
            <w:vAlign w:val="center"/>
          </w:tcPr>
          <w:p w14:paraId="3FEBAE34">
            <w:pPr>
              <w:jc w:val="center"/>
              <w:rPr>
                <w:rFonts w:ascii="宋体" w:hAnsi="宋体" w:cs="宋体"/>
                <w:color w:val="000000" w:themeColor="text1"/>
              </w:rPr>
            </w:pPr>
            <w:r>
              <w:rPr>
                <w:rFonts w:hint="eastAsia" w:ascii="宋体" w:hAnsi="宋体" w:cs="宋体"/>
                <w:color w:val="000000" w:themeColor="text1"/>
              </w:rPr>
              <w:t>11.6</w:t>
            </w:r>
          </w:p>
        </w:tc>
        <w:tc>
          <w:tcPr>
            <w:tcW w:w="7333" w:type="dxa"/>
            <w:vAlign w:val="center"/>
          </w:tcPr>
          <w:p w14:paraId="79B3418C">
            <w:pPr>
              <w:rPr>
                <w:rFonts w:ascii="宋体" w:hAnsi="宋体" w:cs="宋体"/>
                <w:color w:val="000000" w:themeColor="text1"/>
              </w:rPr>
            </w:pPr>
            <w:r>
              <w:rPr>
                <w:rFonts w:hint="eastAsia" w:ascii="宋体" w:hAnsi="宋体" w:cs="宋体"/>
                <w:color w:val="000000" w:themeColor="text1"/>
              </w:rPr>
              <w:t>不适用</w:t>
            </w:r>
          </w:p>
        </w:tc>
      </w:tr>
      <w:tr w14:paraId="73669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2A1EFE06">
            <w:pPr>
              <w:jc w:val="center"/>
              <w:rPr>
                <w:rFonts w:ascii="宋体" w:hAnsi="宋体" w:cs="宋体"/>
                <w:color w:val="000000" w:themeColor="text1"/>
              </w:rPr>
            </w:pPr>
            <w:r>
              <w:rPr>
                <w:rFonts w:hint="eastAsia" w:ascii="宋体" w:hAnsi="宋体" w:cs="宋体"/>
                <w:color w:val="000000" w:themeColor="text1"/>
              </w:rPr>
              <w:t>9</w:t>
            </w:r>
          </w:p>
        </w:tc>
        <w:tc>
          <w:tcPr>
            <w:tcW w:w="993" w:type="dxa"/>
            <w:vAlign w:val="center"/>
          </w:tcPr>
          <w:p w14:paraId="658BB6DD">
            <w:pPr>
              <w:jc w:val="center"/>
              <w:rPr>
                <w:rFonts w:ascii="宋体" w:hAnsi="宋体" w:cs="宋体"/>
                <w:color w:val="000000" w:themeColor="text1"/>
              </w:rPr>
            </w:pPr>
            <w:r>
              <w:rPr>
                <w:rFonts w:hint="eastAsia" w:ascii="宋体" w:hAnsi="宋体" w:cs="宋体"/>
                <w:color w:val="000000" w:themeColor="text1"/>
              </w:rPr>
              <w:t>11.6</w:t>
            </w:r>
          </w:p>
        </w:tc>
        <w:tc>
          <w:tcPr>
            <w:tcW w:w="7333" w:type="dxa"/>
            <w:vAlign w:val="center"/>
          </w:tcPr>
          <w:p w14:paraId="18B5F4C1">
            <w:pPr>
              <w:rPr>
                <w:rFonts w:ascii="宋体" w:hAnsi="宋体" w:cs="宋体"/>
                <w:color w:val="000000" w:themeColor="text1"/>
              </w:rPr>
            </w:pPr>
            <w:r>
              <w:rPr>
                <w:rFonts w:hint="eastAsia" w:ascii="宋体" w:hAnsi="宋体" w:cs="宋体"/>
                <w:color w:val="000000" w:themeColor="text1"/>
              </w:rPr>
              <w:t>不适用</w:t>
            </w:r>
          </w:p>
        </w:tc>
      </w:tr>
      <w:tr w14:paraId="61EBB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26CDA513">
            <w:pPr>
              <w:jc w:val="center"/>
              <w:rPr>
                <w:rFonts w:ascii="宋体" w:hAnsi="宋体" w:cs="宋体"/>
                <w:color w:val="000000" w:themeColor="text1"/>
              </w:rPr>
            </w:pPr>
            <w:r>
              <w:rPr>
                <w:rFonts w:hint="eastAsia" w:ascii="宋体" w:hAnsi="宋体" w:cs="宋体"/>
                <w:color w:val="000000" w:themeColor="text1"/>
              </w:rPr>
              <w:t>10</w:t>
            </w:r>
          </w:p>
        </w:tc>
        <w:tc>
          <w:tcPr>
            <w:tcW w:w="993" w:type="dxa"/>
            <w:vAlign w:val="center"/>
          </w:tcPr>
          <w:p w14:paraId="342B29F2">
            <w:pPr>
              <w:jc w:val="center"/>
              <w:rPr>
                <w:rFonts w:ascii="宋体" w:hAnsi="宋体" w:cs="宋体"/>
                <w:color w:val="000000" w:themeColor="text1"/>
              </w:rPr>
            </w:pPr>
            <w:r>
              <w:rPr>
                <w:rFonts w:hint="eastAsia" w:ascii="宋体" w:hAnsi="宋体" w:cs="宋体"/>
                <w:color w:val="000000" w:themeColor="text1"/>
              </w:rPr>
              <w:t>15.5.2</w:t>
            </w:r>
          </w:p>
        </w:tc>
        <w:tc>
          <w:tcPr>
            <w:tcW w:w="7333" w:type="dxa"/>
            <w:vAlign w:val="center"/>
          </w:tcPr>
          <w:p w14:paraId="7C53F8E3">
            <w:pPr>
              <w:rPr>
                <w:rFonts w:ascii="宋体" w:hAnsi="宋体" w:cs="宋体"/>
                <w:color w:val="000000" w:themeColor="text1"/>
              </w:rPr>
            </w:pPr>
            <w:r>
              <w:rPr>
                <w:rFonts w:hint="eastAsia" w:ascii="宋体" w:hAnsi="宋体" w:cs="宋体"/>
                <w:color w:val="000000" w:themeColor="text1"/>
              </w:rPr>
              <w:t>不适用</w:t>
            </w:r>
          </w:p>
        </w:tc>
      </w:tr>
      <w:tr w14:paraId="75C94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66356ABF">
            <w:pPr>
              <w:jc w:val="center"/>
              <w:rPr>
                <w:rFonts w:ascii="宋体" w:hAnsi="宋体" w:cs="宋体"/>
                <w:color w:val="000000" w:themeColor="text1"/>
              </w:rPr>
            </w:pPr>
            <w:r>
              <w:rPr>
                <w:rFonts w:hint="eastAsia" w:ascii="宋体" w:hAnsi="宋体" w:cs="宋体"/>
                <w:color w:val="000000" w:themeColor="text1"/>
              </w:rPr>
              <w:t>11</w:t>
            </w:r>
          </w:p>
        </w:tc>
        <w:tc>
          <w:tcPr>
            <w:tcW w:w="993" w:type="dxa"/>
            <w:vAlign w:val="center"/>
          </w:tcPr>
          <w:p w14:paraId="16CCC704">
            <w:pPr>
              <w:jc w:val="center"/>
              <w:rPr>
                <w:rFonts w:ascii="宋体" w:hAnsi="宋体" w:cs="宋体"/>
                <w:color w:val="000000" w:themeColor="text1"/>
              </w:rPr>
            </w:pPr>
            <w:r>
              <w:rPr>
                <w:rFonts w:hint="eastAsia" w:ascii="宋体" w:hAnsi="宋体" w:cs="宋体"/>
                <w:color w:val="000000" w:themeColor="text1"/>
              </w:rPr>
              <w:t>16.1</w:t>
            </w:r>
          </w:p>
        </w:tc>
        <w:tc>
          <w:tcPr>
            <w:tcW w:w="7333" w:type="dxa"/>
            <w:vAlign w:val="center"/>
          </w:tcPr>
          <w:p w14:paraId="37A9426B">
            <w:pPr>
              <w:rPr>
                <w:rFonts w:ascii="宋体" w:hAnsi="宋体" w:cs="宋体"/>
                <w:color w:val="000000" w:themeColor="text1"/>
              </w:rPr>
            </w:pPr>
            <w:r>
              <w:rPr>
                <w:rFonts w:hint="eastAsia" w:ascii="宋体" w:hAnsi="宋体" w:cs="宋体"/>
                <w:color w:val="000000" w:themeColor="text1"/>
              </w:rPr>
              <w:t>□因物价波动引起的价格调整按照项目专用合同条款第16项约定的原则处理。</w:t>
            </w:r>
          </w:p>
          <w:p w14:paraId="4AFEBA59">
            <w:pPr>
              <w:rPr>
                <w:rFonts w:ascii="宋体" w:hAnsi="宋体" w:cs="宋体"/>
                <w:color w:val="000000" w:themeColor="text1"/>
              </w:rPr>
            </w:pPr>
            <w:r>
              <w:rPr>
                <w:rFonts w:hint="eastAsia" w:ascii="宋体" w:hAnsi="宋体" w:cs="宋体"/>
                <w:color w:val="000000" w:themeColor="text1"/>
              </w:rPr>
              <w:sym w:font="Wingdings 2" w:char="F052"/>
            </w:r>
            <w:r>
              <w:rPr>
                <w:rFonts w:hint="eastAsia" w:ascii="宋体" w:hAnsi="宋体" w:cs="宋体"/>
                <w:color w:val="000000" w:themeColor="text1"/>
              </w:rPr>
              <w:t>合同期内不调价。</w:t>
            </w:r>
          </w:p>
        </w:tc>
      </w:tr>
      <w:tr w14:paraId="0197F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754034A3">
            <w:pPr>
              <w:jc w:val="center"/>
              <w:rPr>
                <w:rFonts w:ascii="宋体" w:hAnsi="宋体" w:cs="宋体"/>
                <w:color w:val="000000" w:themeColor="text1"/>
              </w:rPr>
            </w:pPr>
            <w:r>
              <w:rPr>
                <w:rFonts w:hint="eastAsia" w:ascii="宋体" w:hAnsi="宋体" w:cs="宋体"/>
                <w:color w:val="000000" w:themeColor="text1"/>
              </w:rPr>
              <w:t>12</w:t>
            </w:r>
          </w:p>
        </w:tc>
        <w:tc>
          <w:tcPr>
            <w:tcW w:w="993" w:type="dxa"/>
            <w:vAlign w:val="center"/>
          </w:tcPr>
          <w:p w14:paraId="5AC4F91F">
            <w:pPr>
              <w:jc w:val="center"/>
              <w:rPr>
                <w:rFonts w:ascii="宋体" w:hAnsi="宋体" w:cs="宋体"/>
                <w:color w:val="000000" w:themeColor="text1"/>
              </w:rPr>
            </w:pPr>
            <w:r>
              <w:rPr>
                <w:rFonts w:hint="eastAsia" w:ascii="宋体" w:hAnsi="宋体" w:cs="宋体"/>
                <w:color w:val="000000" w:themeColor="text1"/>
              </w:rPr>
              <w:t>17.2.1</w:t>
            </w:r>
          </w:p>
        </w:tc>
        <w:tc>
          <w:tcPr>
            <w:tcW w:w="7333" w:type="dxa"/>
            <w:vAlign w:val="center"/>
          </w:tcPr>
          <w:p w14:paraId="4815C03A">
            <w:pPr>
              <w:rPr>
                <w:rFonts w:ascii="宋体" w:hAnsi="宋体" w:cs="宋体"/>
                <w:color w:val="000000" w:themeColor="text1"/>
              </w:rPr>
            </w:pPr>
            <w:r>
              <w:rPr>
                <w:rFonts w:hint="eastAsia" w:ascii="宋体" w:hAnsi="宋体" w:cs="宋体"/>
                <w:color w:val="000000" w:themeColor="text1"/>
              </w:rPr>
              <w:t>开工预付款金额：/</w:t>
            </w:r>
          </w:p>
        </w:tc>
      </w:tr>
      <w:tr w14:paraId="5E5E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085896C3">
            <w:pPr>
              <w:jc w:val="center"/>
              <w:rPr>
                <w:rFonts w:ascii="宋体" w:hAnsi="宋体" w:cs="宋体"/>
                <w:color w:val="000000" w:themeColor="text1"/>
              </w:rPr>
            </w:pPr>
            <w:r>
              <w:rPr>
                <w:rFonts w:hint="eastAsia" w:ascii="宋体" w:hAnsi="宋体" w:cs="宋体"/>
                <w:color w:val="000000" w:themeColor="text1"/>
              </w:rPr>
              <w:t>13</w:t>
            </w:r>
          </w:p>
        </w:tc>
        <w:tc>
          <w:tcPr>
            <w:tcW w:w="993" w:type="dxa"/>
            <w:vAlign w:val="center"/>
          </w:tcPr>
          <w:p w14:paraId="076FE9A9">
            <w:pPr>
              <w:jc w:val="center"/>
              <w:rPr>
                <w:rFonts w:ascii="宋体" w:hAnsi="宋体" w:cs="宋体"/>
                <w:color w:val="000000" w:themeColor="text1"/>
              </w:rPr>
            </w:pPr>
            <w:r>
              <w:rPr>
                <w:rFonts w:hint="eastAsia" w:ascii="宋体" w:hAnsi="宋体" w:cs="宋体"/>
                <w:color w:val="000000" w:themeColor="text1"/>
              </w:rPr>
              <w:t>17.2.1</w:t>
            </w:r>
          </w:p>
        </w:tc>
        <w:tc>
          <w:tcPr>
            <w:tcW w:w="7333" w:type="dxa"/>
            <w:vAlign w:val="center"/>
          </w:tcPr>
          <w:p w14:paraId="4ABD8238">
            <w:pPr>
              <w:rPr>
                <w:rFonts w:ascii="宋体" w:hAnsi="宋体" w:cs="宋体"/>
                <w:color w:val="000000" w:themeColor="text1"/>
              </w:rPr>
            </w:pPr>
            <w:r>
              <w:rPr>
                <w:rFonts w:hint="eastAsia" w:ascii="宋体" w:hAnsi="宋体" w:cs="宋体"/>
                <w:color w:val="000000" w:themeColor="text1"/>
              </w:rPr>
              <w:t>不适用</w:t>
            </w:r>
          </w:p>
        </w:tc>
      </w:tr>
      <w:tr w14:paraId="2577C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298B4EDF">
            <w:pPr>
              <w:jc w:val="center"/>
              <w:rPr>
                <w:rFonts w:ascii="宋体" w:hAnsi="宋体" w:cs="宋体"/>
                <w:color w:val="000000" w:themeColor="text1"/>
              </w:rPr>
            </w:pPr>
            <w:r>
              <w:rPr>
                <w:rFonts w:hint="eastAsia" w:ascii="宋体" w:hAnsi="宋体" w:cs="宋体"/>
                <w:color w:val="000000" w:themeColor="text1"/>
              </w:rPr>
              <w:t>14</w:t>
            </w:r>
          </w:p>
        </w:tc>
        <w:tc>
          <w:tcPr>
            <w:tcW w:w="993" w:type="dxa"/>
            <w:vAlign w:val="center"/>
          </w:tcPr>
          <w:p w14:paraId="317659A5">
            <w:pPr>
              <w:jc w:val="center"/>
              <w:rPr>
                <w:rFonts w:ascii="宋体" w:hAnsi="宋体" w:cs="宋体"/>
                <w:color w:val="000000" w:themeColor="text1"/>
              </w:rPr>
            </w:pPr>
            <w:r>
              <w:rPr>
                <w:rFonts w:hint="eastAsia" w:ascii="宋体" w:hAnsi="宋体" w:cs="宋体"/>
                <w:color w:val="000000" w:themeColor="text1"/>
              </w:rPr>
              <w:t>17.3.2</w:t>
            </w:r>
          </w:p>
        </w:tc>
        <w:tc>
          <w:tcPr>
            <w:tcW w:w="7333" w:type="dxa"/>
            <w:vAlign w:val="center"/>
          </w:tcPr>
          <w:p w14:paraId="719AE00A">
            <w:pPr>
              <w:rPr>
                <w:rFonts w:ascii="宋体" w:hAnsi="宋体" w:cs="宋体"/>
                <w:color w:val="000000" w:themeColor="text1"/>
              </w:rPr>
            </w:pPr>
            <w:r>
              <w:rPr>
                <w:rFonts w:hint="eastAsia" w:ascii="宋体" w:hAnsi="宋体" w:cs="宋体"/>
                <w:color w:val="000000" w:themeColor="text1"/>
              </w:rPr>
              <w:t>承包人在每个付款周期末向监理人提交进度付款申请单的份数：4份。</w:t>
            </w:r>
          </w:p>
        </w:tc>
      </w:tr>
      <w:tr w14:paraId="353EF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1C828683">
            <w:pPr>
              <w:jc w:val="center"/>
              <w:rPr>
                <w:rFonts w:ascii="宋体" w:hAnsi="宋体" w:cs="宋体"/>
                <w:color w:val="000000" w:themeColor="text1"/>
              </w:rPr>
            </w:pPr>
            <w:r>
              <w:rPr>
                <w:rFonts w:hint="eastAsia" w:ascii="宋体" w:hAnsi="宋体" w:cs="宋体"/>
                <w:color w:val="000000" w:themeColor="text1"/>
              </w:rPr>
              <w:t>15</w:t>
            </w:r>
          </w:p>
        </w:tc>
        <w:tc>
          <w:tcPr>
            <w:tcW w:w="993" w:type="dxa"/>
            <w:vAlign w:val="center"/>
          </w:tcPr>
          <w:p w14:paraId="431D18D2">
            <w:pPr>
              <w:jc w:val="center"/>
              <w:rPr>
                <w:rFonts w:ascii="宋体" w:hAnsi="宋体" w:cs="宋体"/>
                <w:color w:val="000000" w:themeColor="text1"/>
              </w:rPr>
            </w:pPr>
            <w:r>
              <w:rPr>
                <w:rFonts w:hint="eastAsia" w:ascii="宋体" w:hAnsi="宋体" w:cs="宋体"/>
                <w:color w:val="000000" w:themeColor="text1"/>
              </w:rPr>
              <w:t>17.3.3(1)</w:t>
            </w:r>
          </w:p>
        </w:tc>
        <w:tc>
          <w:tcPr>
            <w:tcW w:w="7333" w:type="dxa"/>
            <w:vAlign w:val="center"/>
          </w:tcPr>
          <w:p w14:paraId="7F51C155">
            <w:pPr>
              <w:rPr>
                <w:rFonts w:ascii="宋体" w:hAnsi="宋体" w:cs="宋体"/>
                <w:color w:val="000000" w:themeColor="text1"/>
              </w:rPr>
            </w:pPr>
            <w:r>
              <w:rPr>
                <w:rFonts w:hint="eastAsia" w:ascii="宋体" w:hAnsi="宋体" w:cs="宋体"/>
                <w:color w:val="000000" w:themeColor="text1"/>
              </w:rPr>
              <w:t>进度付款证书最低限额：/</w:t>
            </w:r>
          </w:p>
        </w:tc>
      </w:tr>
      <w:tr w14:paraId="2387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3B04D2EB">
            <w:pPr>
              <w:jc w:val="center"/>
              <w:rPr>
                <w:rFonts w:ascii="宋体" w:hAnsi="宋体" w:cs="宋体"/>
                <w:color w:val="000000" w:themeColor="text1"/>
              </w:rPr>
            </w:pPr>
            <w:r>
              <w:rPr>
                <w:rFonts w:hint="eastAsia" w:ascii="宋体" w:hAnsi="宋体" w:cs="宋体"/>
                <w:color w:val="000000" w:themeColor="text1"/>
              </w:rPr>
              <w:t>16</w:t>
            </w:r>
          </w:p>
        </w:tc>
        <w:tc>
          <w:tcPr>
            <w:tcW w:w="993" w:type="dxa"/>
            <w:vAlign w:val="center"/>
          </w:tcPr>
          <w:p w14:paraId="4A35E354">
            <w:pPr>
              <w:jc w:val="center"/>
              <w:rPr>
                <w:rFonts w:ascii="宋体" w:hAnsi="宋体" w:cs="宋体"/>
                <w:color w:val="000000" w:themeColor="text1"/>
              </w:rPr>
            </w:pPr>
            <w:r>
              <w:rPr>
                <w:rFonts w:hint="eastAsia" w:ascii="宋体" w:hAnsi="宋体" w:cs="宋体"/>
                <w:color w:val="000000" w:themeColor="text1"/>
              </w:rPr>
              <w:t>17.3.3(2)</w:t>
            </w:r>
          </w:p>
        </w:tc>
        <w:tc>
          <w:tcPr>
            <w:tcW w:w="7333" w:type="dxa"/>
            <w:vAlign w:val="center"/>
          </w:tcPr>
          <w:p w14:paraId="7BDC5DE5">
            <w:pPr>
              <w:rPr>
                <w:rFonts w:ascii="宋体" w:hAnsi="宋体" w:cs="宋体"/>
                <w:color w:val="000000" w:themeColor="text1"/>
              </w:rPr>
            </w:pPr>
            <w:r>
              <w:rPr>
                <w:rFonts w:hint="eastAsia" w:ascii="宋体" w:hAnsi="宋体" w:cs="宋体"/>
                <w:color w:val="000000" w:themeColor="text1"/>
              </w:rPr>
              <w:t>逾期付款违约金的利率：</w:t>
            </w:r>
            <w:r>
              <w:rPr>
                <w:rFonts w:hint="eastAsia" w:ascii="宋体" w:hAnsi="宋体" w:cs="宋体"/>
                <w:color w:val="000000" w:themeColor="text1"/>
                <w:u w:val="single"/>
              </w:rPr>
              <w:t>中国人民银行发布的同期六个月以内（含六个月）短期贷款基准利率（不计复利）加手续费。</w:t>
            </w:r>
          </w:p>
        </w:tc>
      </w:tr>
      <w:tr w14:paraId="4F636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14311283">
            <w:pPr>
              <w:jc w:val="center"/>
              <w:rPr>
                <w:rFonts w:ascii="宋体" w:hAnsi="宋体" w:cs="宋体"/>
                <w:color w:val="000000" w:themeColor="text1"/>
              </w:rPr>
            </w:pPr>
            <w:r>
              <w:rPr>
                <w:rFonts w:hint="eastAsia" w:ascii="宋体" w:hAnsi="宋体" w:cs="宋体"/>
                <w:color w:val="000000" w:themeColor="text1"/>
              </w:rPr>
              <w:t>17</w:t>
            </w:r>
          </w:p>
        </w:tc>
        <w:tc>
          <w:tcPr>
            <w:tcW w:w="993" w:type="dxa"/>
            <w:vAlign w:val="center"/>
          </w:tcPr>
          <w:p w14:paraId="178C0EEF">
            <w:pPr>
              <w:jc w:val="center"/>
              <w:rPr>
                <w:rFonts w:ascii="宋体" w:hAnsi="宋体" w:cs="宋体"/>
                <w:color w:val="000000" w:themeColor="text1"/>
              </w:rPr>
            </w:pPr>
            <w:r>
              <w:rPr>
                <w:rFonts w:hint="eastAsia" w:ascii="宋体" w:hAnsi="宋体" w:cs="宋体"/>
                <w:color w:val="000000" w:themeColor="text1"/>
              </w:rPr>
              <w:t>17.4.1</w:t>
            </w:r>
          </w:p>
        </w:tc>
        <w:tc>
          <w:tcPr>
            <w:tcW w:w="7333" w:type="dxa"/>
            <w:vAlign w:val="center"/>
          </w:tcPr>
          <w:p w14:paraId="250182C6">
            <w:pPr>
              <w:rPr>
                <w:rFonts w:ascii="宋体" w:hAnsi="宋体" w:cs="宋体"/>
                <w:color w:val="000000" w:themeColor="text1"/>
              </w:rPr>
            </w:pPr>
            <w:r>
              <w:rPr>
                <w:rFonts w:hint="eastAsia" w:ascii="宋体" w:hAnsi="宋体" w:cs="宋体"/>
                <w:color w:val="000000" w:themeColor="text1"/>
              </w:rPr>
              <w:t>质量保证金金额：/。</w:t>
            </w:r>
          </w:p>
          <w:p w14:paraId="29801E16">
            <w:pPr>
              <w:rPr>
                <w:rFonts w:ascii="宋体" w:hAnsi="宋体" w:cs="宋体"/>
                <w:color w:val="000000" w:themeColor="text1"/>
              </w:rPr>
            </w:pPr>
            <w:r>
              <w:rPr>
                <w:rFonts w:hint="eastAsia" w:ascii="宋体" w:hAnsi="宋体" w:cs="宋体"/>
                <w:color w:val="000000" w:themeColor="text1"/>
              </w:rPr>
              <w:t>质量保证金是否计付利息：</w:t>
            </w:r>
          </w:p>
          <w:p w14:paraId="60F5F08B">
            <w:pPr>
              <w:rPr>
                <w:rFonts w:ascii="宋体" w:hAnsi="宋体" w:cs="宋体"/>
                <w:color w:val="000000" w:themeColor="text1"/>
              </w:rPr>
            </w:pPr>
            <w:r>
              <w:rPr>
                <w:rFonts w:hint="eastAsia" w:ascii="宋体" w:hAnsi="宋体" w:cs="宋体"/>
                <w:color w:val="000000" w:themeColor="text1"/>
              </w:rPr>
              <w:t>□是，利息的计算方式：</w:t>
            </w:r>
          </w:p>
          <w:p w14:paraId="6CFC4F3C">
            <w:pPr>
              <w:rPr>
                <w:rFonts w:ascii="宋体" w:hAnsi="宋体" w:cs="宋体"/>
                <w:color w:val="000000" w:themeColor="text1"/>
              </w:rPr>
            </w:pPr>
            <w:r>
              <w:rPr>
                <w:rFonts w:hint="eastAsia" w:ascii="宋体" w:hAnsi="宋体" w:cs="宋体"/>
                <w:color w:val="000000" w:themeColor="text1"/>
              </w:rPr>
              <w:sym w:font="Wingdings 2" w:char="F052"/>
            </w:r>
            <w:r>
              <w:rPr>
                <w:rFonts w:hint="eastAsia" w:ascii="宋体" w:hAnsi="宋体" w:cs="宋体"/>
                <w:color w:val="000000" w:themeColor="text1"/>
              </w:rPr>
              <w:t>否</w:t>
            </w:r>
          </w:p>
        </w:tc>
      </w:tr>
      <w:tr w14:paraId="20B4B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1FC0103E">
            <w:pPr>
              <w:jc w:val="center"/>
              <w:rPr>
                <w:rFonts w:ascii="宋体" w:hAnsi="宋体" w:cs="宋体"/>
                <w:color w:val="000000" w:themeColor="text1"/>
              </w:rPr>
            </w:pPr>
            <w:r>
              <w:rPr>
                <w:rFonts w:hint="eastAsia" w:ascii="宋体" w:hAnsi="宋体" w:cs="宋体"/>
                <w:color w:val="000000" w:themeColor="text1"/>
              </w:rPr>
              <w:t>18</w:t>
            </w:r>
          </w:p>
        </w:tc>
        <w:tc>
          <w:tcPr>
            <w:tcW w:w="993" w:type="dxa"/>
            <w:vAlign w:val="center"/>
          </w:tcPr>
          <w:p w14:paraId="7E97F133">
            <w:pPr>
              <w:jc w:val="center"/>
              <w:rPr>
                <w:rFonts w:ascii="宋体" w:hAnsi="宋体" w:cs="宋体"/>
                <w:color w:val="000000" w:themeColor="text1"/>
              </w:rPr>
            </w:pPr>
            <w:r>
              <w:rPr>
                <w:rFonts w:hint="eastAsia" w:ascii="宋体" w:hAnsi="宋体" w:cs="宋体"/>
                <w:color w:val="000000" w:themeColor="text1"/>
              </w:rPr>
              <w:t>17.5.1</w:t>
            </w:r>
          </w:p>
        </w:tc>
        <w:tc>
          <w:tcPr>
            <w:tcW w:w="7333" w:type="dxa"/>
            <w:vAlign w:val="center"/>
          </w:tcPr>
          <w:p w14:paraId="7C5A3FC9">
            <w:pPr>
              <w:rPr>
                <w:rFonts w:ascii="宋体" w:hAnsi="宋体" w:cs="宋体"/>
                <w:color w:val="000000" w:themeColor="text1"/>
              </w:rPr>
            </w:pPr>
            <w:r>
              <w:rPr>
                <w:rFonts w:hint="eastAsia" w:ascii="宋体" w:hAnsi="宋体" w:cs="宋体"/>
                <w:color w:val="000000" w:themeColor="text1"/>
              </w:rPr>
              <w:t>承包人向监理人提交交工付款申请单(包括相关证明材料)的份数：4份。</w:t>
            </w:r>
          </w:p>
        </w:tc>
      </w:tr>
      <w:tr w14:paraId="42082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26E7DA1F">
            <w:pPr>
              <w:jc w:val="center"/>
              <w:rPr>
                <w:rFonts w:ascii="宋体" w:hAnsi="宋体" w:cs="宋体"/>
                <w:color w:val="000000" w:themeColor="text1"/>
              </w:rPr>
            </w:pPr>
            <w:r>
              <w:rPr>
                <w:rFonts w:hint="eastAsia" w:ascii="宋体" w:hAnsi="宋体" w:cs="宋体"/>
                <w:color w:val="000000" w:themeColor="text1"/>
              </w:rPr>
              <w:t>19</w:t>
            </w:r>
          </w:p>
        </w:tc>
        <w:tc>
          <w:tcPr>
            <w:tcW w:w="993" w:type="dxa"/>
            <w:vAlign w:val="center"/>
          </w:tcPr>
          <w:p w14:paraId="57359F0F">
            <w:pPr>
              <w:jc w:val="center"/>
              <w:rPr>
                <w:rFonts w:ascii="宋体" w:hAnsi="宋体" w:cs="宋体"/>
                <w:color w:val="000000" w:themeColor="text1"/>
              </w:rPr>
            </w:pPr>
            <w:r>
              <w:rPr>
                <w:rFonts w:hint="eastAsia" w:ascii="宋体" w:hAnsi="宋体" w:cs="宋体"/>
                <w:color w:val="000000" w:themeColor="text1"/>
              </w:rPr>
              <w:t>17.6.1</w:t>
            </w:r>
          </w:p>
        </w:tc>
        <w:tc>
          <w:tcPr>
            <w:tcW w:w="7333" w:type="dxa"/>
            <w:vAlign w:val="center"/>
          </w:tcPr>
          <w:p w14:paraId="0C320455">
            <w:pPr>
              <w:rPr>
                <w:rFonts w:ascii="宋体" w:hAnsi="宋体" w:cs="宋体"/>
                <w:color w:val="000000" w:themeColor="text1"/>
              </w:rPr>
            </w:pPr>
            <w:r>
              <w:rPr>
                <w:rFonts w:hint="eastAsia" w:ascii="宋体" w:hAnsi="宋体" w:cs="宋体"/>
                <w:color w:val="000000" w:themeColor="text1"/>
              </w:rPr>
              <w:t>承包人向监理人提交最终结清申请单(包括相关证明材料)的份数：4份。</w:t>
            </w:r>
          </w:p>
        </w:tc>
      </w:tr>
      <w:tr w14:paraId="2206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3AA49F3B">
            <w:pPr>
              <w:jc w:val="center"/>
              <w:rPr>
                <w:rFonts w:ascii="宋体" w:hAnsi="宋体" w:cs="宋体"/>
                <w:color w:val="000000" w:themeColor="text1"/>
              </w:rPr>
            </w:pPr>
            <w:r>
              <w:rPr>
                <w:rFonts w:hint="eastAsia" w:ascii="宋体" w:hAnsi="宋体" w:cs="宋体"/>
                <w:color w:val="000000" w:themeColor="text1"/>
              </w:rPr>
              <w:t>20</w:t>
            </w:r>
          </w:p>
        </w:tc>
        <w:tc>
          <w:tcPr>
            <w:tcW w:w="993" w:type="dxa"/>
            <w:vAlign w:val="center"/>
          </w:tcPr>
          <w:p w14:paraId="30C59C20">
            <w:pPr>
              <w:jc w:val="center"/>
              <w:rPr>
                <w:rFonts w:ascii="宋体" w:hAnsi="宋体" w:cs="宋体"/>
                <w:color w:val="000000" w:themeColor="text1"/>
              </w:rPr>
            </w:pPr>
            <w:r>
              <w:rPr>
                <w:rFonts w:hint="eastAsia" w:ascii="宋体" w:hAnsi="宋体" w:cs="宋体"/>
                <w:color w:val="000000" w:themeColor="text1"/>
              </w:rPr>
              <w:t>18.5.1</w:t>
            </w:r>
          </w:p>
        </w:tc>
        <w:tc>
          <w:tcPr>
            <w:tcW w:w="7333" w:type="dxa"/>
            <w:vAlign w:val="center"/>
          </w:tcPr>
          <w:p w14:paraId="25957797">
            <w:pPr>
              <w:rPr>
                <w:rFonts w:ascii="宋体" w:hAnsi="宋体" w:cs="宋体"/>
                <w:color w:val="000000" w:themeColor="text1"/>
              </w:rPr>
            </w:pPr>
            <w:r>
              <w:rPr>
                <w:rFonts w:hint="eastAsia" w:ascii="宋体" w:hAnsi="宋体" w:cs="宋体"/>
                <w:color w:val="000000" w:themeColor="text1"/>
              </w:rPr>
              <w:t>单位工程或工程设备是否需要投入施工期运行：否。</w:t>
            </w:r>
          </w:p>
        </w:tc>
      </w:tr>
      <w:tr w14:paraId="2ECB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0797E53C">
            <w:pPr>
              <w:jc w:val="center"/>
              <w:rPr>
                <w:rFonts w:ascii="宋体" w:hAnsi="宋体" w:cs="宋体"/>
                <w:color w:val="000000" w:themeColor="text1"/>
              </w:rPr>
            </w:pPr>
            <w:r>
              <w:rPr>
                <w:rFonts w:hint="eastAsia" w:ascii="宋体" w:hAnsi="宋体" w:cs="宋体"/>
                <w:color w:val="000000" w:themeColor="text1"/>
              </w:rPr>
              <w:t>21</w:t>
            </w:r>
          </w:p>
        </w:tc>
        <w:tc>
          <w:tcPr>
            <w:tcW w:w="993" w:type="dxa"/>
            <w:vAlign w:val="center"/>
          </w:tcPr>
          <w:p w14:paraId="4C5E2F22">
            <w:pPr>
              <w:jc w:val="center"/>
              <w:rPr>
                <w:rFonts w:ascii="宋体" w:hAnsi="宋体" w:cs="宋体"/>
                <w:color w:val="000000" w:themeColor="text1"/>
              </w:rPr>
            </w:pPr>
            <w:r>
              <w:rPr>
                <w:rFonts w:hint="eastAsia" w:ascii="宋体" w:hAnsi="宋体" w:cs="宋体"/>
                <w:color w:val="000000" w:themeColor="text1"/>
              </w:rPr>
              <w:t>18.6.1</w:t>
            </w:r>
          </w:p>
        </w:tc>
        <w:tc>
          <w:tcPr>
            <w:tcW w:w="7333" w:type="dxa"/>
            <w:vAlign w:val="center"/>
          </w:tcPr>
          <w:p w14:paraId="16F36D53">
            <w:pPr>
              <w:rPr>
                <w:rFonts w:ascii="宋体" w:hAnsi="宋体" w:cs="宋体"/>
                <w:color w:val="000000" w:themeColor="text1"/>
              </w:rPr>
            </w:pPr>
            <w:r>
              <w:rPr>
                <w:rFonts w:hint="eastAsia" w:ascii="宋体" w:hAnsi="宋体" w:cs="宋体"/>
                <w:color w:val="000000" w:themeColor="text1"/>
              </w:rPr>
              <w:t>本工程及工程设备是否进行试运行：否。</w:t>
            </w:r>
          </w:p>
        </w:tc>
      </w:tr>
      <w:tr w14:paraId="10DE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458BDEE3">
            <w:pPr>
              <w:jc w:val="center"/>
              <w:rPr>
                <w:rFonts w:ascii="宋体" w:hAnsi="宋体" w:cs="宋体"/>
                <w:color w:val="000000" w:themeColor="text1"/>
              </w:rPr>
            </w:pPr>
            <w:r>
              <w:rPr>
                <w:rFonts w:hint="eastAsia" w:ascii="宋体" w:hAnsi="宋体" w:cs="宋体"/>
                <w:color w:val="000000" w:themeColor="text1"/>
              </w:rPr>
              <w:t>22</w:t>
            </w:r>
          </w:p>
        </w:tc>
        <w:tc>
          <w:tcPr>
            <w:tcW w:w="993" w:type="dxa"/>
            <w:vAlign w:val="center"/>
          </w:tcPr>
          <w:p w14:paraId="40A0EC78">
            <w:pPr>
              <w:jc w:val="center"/>
              <w:rPr>
                <w:rFonts w:ascii="宋体" w:hAnsi="宋体" w:cs="宋体"/>
                <w:color w:val="000000" w:themeColor="text1"/>
              </w:rPr>
            </w:pPr>
            <w:r>
              <w:rPr>
                <w:rFonts w:hint="eastAsia" w:ascii="宋体" w:hAnsi="宋体" w:cs="宋体"/>
                <w:color w:val="000000" w:themeColor="text1"/>
              </w:rPr>
              <w:t>20.1</w:t>
            </w:r>
          </w:p>
        </w:tc>
        <w:tc>
          <w:tcPr>
            <w:tcW w:w="7333" w:type="dxa"/>
            <w:vAlign w:val="center"/>
          </w:tcPr>
          <w:p w14:paraId="256591D1">
            <w:pPr>
              <w:ind w:firstLine="411" w:firstLineChars="196"/>
              <w:rPr>
                <w:rFonts w:ascii="宋体" w:hAnsi="宋体" w:cs="宋体"/>
                <w:color w:val="000000" w:themeColor="text1"/>
              </w:rPr>
            </w:pPr>
            <w:r>
              <w:rPr>
                <w:rFonts w:hint="eastAsia" w:ascii="宋体" w:hAnsi="宋体" w:cs="宋体"/>
                <w:color w:val="000000" w:themeColor="text1"/>
              </w:rPr>
              <w:t>建筑工程一切险（包括不计免赔）的保险费率：由</w:t>
            </w:r>
            <w:r>
              <w:rPr>
                <w:rFonts w:hint="eastAsia" w:ascii="宋体" w:hAnsi="宋体" w:cs="宋体"/>
                <w:bCs/>
                <w:color w:val="000000" w:themeColor="text1"/>
              </w:rPr>
              <w:t>承包人自行投保，保险费由承包人承担并支付，此项保险的一切费用包含在所报的投标总价中，不单独计量与支付。</w:t>
            </w:r>
          </w:p>
        </w:tc>
      </w:tr>
      <w:tr w14:paraId="4D99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5738448D">
            <w:pPr>
              <w:jc w:val="center"/>
              <w:rPr>
                <w:rFonts w:ascii="宋体" w:hAnsi="宋体" w:cs="宋体"/>
                <w:color w:val="000000" w:themeColor="text1"/>
              </w:rPr>
            </w:pPr>
            <w:r>
              <w:rPr>
                <w:rFonts w:hint="eastAsia" w:ascii="宋体" w:hAnsi="宋体" w:cs="宋体"/>
                <w:color w:val="000000" w:themeColor="text1"/>
              </w:rPr>
              <w:t>23</w:t>
            </w:r>
          </w:p>
        </w:tc>
        <w:tc>
          <w:tcPr>
            <w:tcW w:w="993" w:type="dxa"/>
            <w:vAlign w:val="center"/>
          </w:tcPr>
          <w:p w14:paraId="7C734A17">
            <w:pPr>
              <w:jc w:val="center"/>
              <w:rPr>
                <w:rFonts w:ascii="宋体" w:hAnsi="宋体" w:cs="宋体"/>
                <w:color w:val="000000" w:themeColor="text1"/>
              </w:rPr>
            </w:pPr>
            <w:r>
              <w:rPr>
                <w:rFonts w:hint="eastAsia" w:ascii="宋体" w:hAnsi="宋体" w:cs="宋体"/>
                <w:color w:val="000000" w:themeColor="text1"/>
              </w:rPr>
              <w:t>20.4.2</w:t>
            </w:r>
          </w:p>
        </w:tc>
        <w:tc>
          <w:tcPr>
            <w:tcW w:w="7333" w:type="dxa"/>
            <w:vAlign w:val="center"/>
          </w:tcPr>
          <w:p w14:paraId="4282EEED">
            <w:pPr>
              <w:ind w:firstLine="411" w:firstLineChars="196"/>
              <w:rPr>
                <w:rFonts w:ascii="宋体" w:hAnsi="宋体" w:cs="宋体"/>
                <w:color w:val="000000" w:themeColor="text1"/>
              </w:rPr>
            </w:pPr>
            <w:r>
              <w:rPr>
                <w:rFonts w:hint="eastAsia" w:ascii="宋体" w:hAnsi="宋体" w:cs="宋体"/>
                <w:color w:val="000000" w:themeColor="text1"/>
              </w:rPr>
              <w:t>第三者责任险的最低投保金额：10万元，事故次数不限（不计免赔额），由</w:t>
            </w:r>
            <w:r>
              <w:rPr>
                <w:rFonts w:hint="eastAsia" w:ascii="宋体" w:hAnsi="宋体" w:cs="宋体"/>
                <w:bCs/>
                <w:color w:val="000000" w:themeColor="text1"/>
              </w:rPr>
              <w:t>承包人自行投保，保险费由承包人承担并支付，此项保险的一切费用包含在所报的投标总价中，不单独计量与支付。</w:t>
            </w:r>
          </w:p>
        </w:tc>
      </w:tr>
      <w:tr w14:paraId="767CD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3" w:type="dxa"/>
            <w:vAlign w:val="center"/>
          </w:tcPr>
          <w:p w14:paraId="579BA99D">
            <w:pPr>
              <w:jc w:val="center"/>
              <w:rPr>
                <w:rFonts w:ascii="宋体" w:hAnsi="宋体" w:cs="宋体"/>
                <w:color w:val="000000" w:themeColor="text1"/>
              </w:rPr>
            </w:pPr>
            <w:r>
              <w:rPr>
                <w:rFonts w:hint="eastAsia" w:ascii="宋体" w:hAnsi="宋体" w:cs="宋体"/>
                <w:color w:val="000000" w:themeColor="text1"/>
              </w:rPr>
              <w:t>24</w:t>
            </w:r>
          </w:p>
        </w:tc>
        <w:tc>
          <w:tcPr>
            <w:tcW w:w="993" w:type="dxa"/>
            <w:vAlign w:val="center"/>
          </w:tcPr>
          <w:p w14:paraId="0838C62D">
            <w:pPr>
              <w:jc w:val="center"/>
              <w:rPr>
                <w:rFonts w:ascii="宋体" w:hAnsi="宋体" w:cs="宋体"/>
                <w:color w:val="000000" w:themeColor="text1"/>
              </w:rPr>
            </w:pPr>
            <w:r>
              <w:rPr>
                <w:rFonts w:hint="eastAsia" w:ascii="宋体" w:hAnsi="宋体" w:cs="宋体"/>
                <w:color w:val="000000" w:themeColor="text1"/>
              </w:rPr>
              <w:t>24.1</w:t>
            </w:r>
          </w:p>
        </w:tc>
        <w:tc>
          <w:tcPr>
            <w:tcW w:w="7333" w:type="dxa"/>
            <w:vAlign w:val="center"/>
          </w:tcPr>
          <w:p w14:paraId="18E4DF53">
            <w:pPr>
              <w:rPr>
                <w:rFonts w:ascii="宋体" w:hAnsi="宋体" w:cs="宋体"/>
                <w:color w:val="000000" w:themeColor="text1"/>
              </w:rPr>
            </w:pPr>
            <w:r>
              <w:rPr>
                <w:rFonts w:hint="eastAsia" w:ascii="宋体" w:hAnsi="宋体" w:cs="宋体"/>
                <w:color w:val="000000" w:themeColor="text1"/>
              </w:rPr>
              <w:t>争议的最终解决方式：</w:t>
            </w:r>
            <w:r>
              <w:rPr>
                <w:rFonts w:hint="eastAsia" w:ascii="宋体" w:hAnsi="宋体" w:cs="宋体"/>
                <w:color w:val="000000" w:themeColor="text1"/>
                <w:u w:val="single"/>
              </w:rPr>
              <w:t>诉讼</w:t>
            </w:r>
          </w:p>
          <w:p w14:paraId="581E389A">
            <w:pPr>
              <w:rPr>
                <w:rFonts w:ascii="宋体" w:hAnsi="宋体" w:cs="宋体"/>
                <w:color w:val="000000" w:themeColor="text1"/>
              </w:rPr>
            </w:pPr>
            <w:r>
              <w:rPr>
                <w:rFonts w:hint="eastAsia" w:ascii="宋体" w:hAnsi="宋体" w:cs="宋体"/>
                <w:color w:val="000000" w:themeColor="text1"/>
              </w:rPr>
              <w:t>如采用诉讼，向</w:t>
            </w:r>
            <w:bookmarkStart w:id="264" w:name="_Hlk164874437"/>
            <w:r>
              <w:rPr>
                <w:rFonts w:hint="eastAsia" w:ascii="宋体" w:hAnsi="宋体" w:cs="宋体"/>
                <w:color w:val="000000" w:themeColor="text1"/>
                <w:u w:val="single"/>
              </w:rPr>
              <w:t>工程所在地有管辖权的人民法院</w:t>
            </w:r>
            <w:bookmarkEnd w:id="264"/>
            <w:r>
              <w:rPr>
                <w:rFonts w:hint="eastAsia" w:ascii="宋体" w:hAnsi="宋体" w:cs="宋体"/>
                <w:color w:val="000000" w:themeColor="text1"/>
              </w:rPr>
              <w:t>提起</w:t>
            </w:r>
            <w:r>
              <w:rPr>
                <w:rFonts w:hint="eastAsia" w:ascii="宋体" w:hAnsi="宋体" w:cs="宋体"/>
                <w:color w:val="000000" w:themeColor="text1"/>
                <w:u w:val="single"/>
              </w:rPr>
              <w:t>诉讼</w:t>
            </w:r>
            <w:r>
              <w:rPr>
                <w:rFonts w:hint="eastAsia" w:ascii="宋体" w:hAnsi="宋体" w:cs="宋体"/>
                <w:color w:val="000000" w:themeColor="text1"/>
              </w:rPr>
              <w:t>。仲裁费用由败诉方承担。</w:t>
            </w:r>
          </w:p>
        </w:tc>
      </w:tr>
    </w:tbl>
    <w:p w14:paraId="7D7A784A">
      <w:pPr>
        <w:spacing w:line="400" w:lineRule="exact"/>
        <w:rPr>
          <w:color w:val="000000" w:themeColor="text1"/>
        </w:rPr>
        <w:sectPr>
          <w:headerReference r:id="rId5" w:type="default"/>
          <w:pgSz w:w="11906" w:h="16838"/>
          <w:pgMar w:top="1389" w:right="1474" w:bottom="1134" w:left="1644" w:header="851" w:footer="754" w:gutter="0"/>
          <w:cols w:space="720" w:num="1"/>
        </w:sectPr>
      </w:pPr>
    </w:p>
    <w:p w14:paraId="5461D67A">
      <w:pPr>
        <w:pStyle w:val="145"/>
        <w:spacing w:before="120" w:beforeLines="50" w:after="120" w:afterLines="50" w:line="240" w:lineRule="auto"/>
        <w:jc w:val="center"/>
        <w:outlineLvl w:val="9"/>
        <w:rPr>
          <w:rFonts w:eastAsia="宋体"/>
          <w:color w:val="000000" w:themeColor="text1"/>
          <w:sz w:val="36"/>
          <w:szCs w:val="36"/>
        </w:rPr>
      </w:pPr>
      <w:bookmarkStart w:id="265" w:name="_Toc155855602"/>
      <w:bookmarkStart w:id="266" w:name="_Toc508615711"/>
      <w:bookmarkStart w:id="267" w:name="_Toc4655"/>
      <w:bookmarkStart w:id="268" w:name="_Toc162056628"/>
      <w:bookmarkStart w:id="269" w:name="_Toc238559205"/>
      <w:bookmarkStart w:id="270" w:name="_Toc155592579"/>
      <w:bookmarkStart w:id="271" w:name="_Toc234675088"/>
      <w:bookmarkStart w:id="272" w:name="_Toc234744456"/>
      <w:bookmarkStart w:id="273" w:name="_Toc170618594"/>
      <w:bookmarkStart w:id="274" w:name="_Toc209948442"/>
      <w:bookmarkStart w:id="275" w:name="_Toc460366515"/>
      <w:r>
        <w:rPr>
          <w:rFonts w:eastAsia="宋体"/>
          <w:color w:val="000000" w:themeColor="text1"/>
          <w:sz w:val="36"/>
          <w:szCs w:val="36"/>
        </w:rPr>
        <w:t>项目专用合同条款</w:t>
      </w:r>
      <w:bookmarkEnd w:id="265"/>
      <w:bookmarkEnd w:id="266"/>
      <w:bookmarkEnd w:id="267"/>
      <w:bookmarkEnd w:id="268"/>
      <w:bookmarkEnd w:id="269"/>
      <w:bookmarkEnd w:id="270"/>
      <w:bookmarkEnd w:id="271"/>
      <w:bookmarkEnd w:id="272"/>
      <w:bookmarkEnd w:id="273"/>
      <w:bookmarkEnd w:id="274"/>
      <w:bookmarkEnd w:id="275"/>
    </w:p>
    <w:p w14:paraId="18CC900B">
      <w:pPr>
        <w:spacing w:line="360" w:lineRule="auto"/>
        <w:ind w:firstLine="480"/>
        <w:rPr>
          <w:rFonts w:ascii="宋体" w:hAnsi="宋体" w:cs="宋体"/>
          <w:color w:val="000000" w:themeColor="text1"/>
        </w:rPr>
      </w:pPr>
      <w:r>
        <w:rPr>
          <w:rFonts w:hint="eastAsia" w:ascii="宋体" w:hAnsi="宋体" w:cs="宋体"/>
          <w:color w:val="000000" w:themeColor="text1"/>
        </w:rPr>
        <w:t>说明：本部分所列的项目专用合同条款是对“通用合同条款”和“房建工程专用合同条款”中规定必须在项目专用合同条款中明确的内容的集中，招标人编制的“项目专用合同条款”不限于本部分所列内容。</w:t>
      </w:r>
    </w:p>
    <w:p w14:paraId="5C513E66">
      <w:pPr>
        <w:pStyle w:val="7"/>
        <w:spacing w:before="0" w:after="0" w:line="360" w:lineRule="auto"/>
        <w:ind w:left="0" w:firstLine="0"/>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4.1 承包人的一般义务</w:t>
      </w:r>
    </w:p>
    <w:p w14:paraId="780993FA">
      <w:pPr>
        <w:spacing w:line="360" w:lineRule="auto"/>
        <w:ind w:firstLine="482"/>
        <w:rPr>
          <w:rFonts w:ascii="宋体" w:hAnsi="宋体" w:cs="宋体"/>
          <w:b/>
          <w:bCs/>
          <w:color w:val="000000" w:themeColor="text1"/>
        </w:rPr>
      </w:pPr>
      <w:r>
        <w:rPr>
          <w:rFonts w:hint="eastAsia" w:ascii="宋体" w:hAnsi="宋体" w:cs="宋体"/>
          <w:b/>
          <w:bCs/>
          <w:color w:val="000000" w:themeColor="text1"/>
        </w:rPr>
        <w:t>4.1.10其他义务</w:t>
      </w:r>
    </w:p>
    <w:p w14:paraId="2F0E4A07">
      <w:pPr>
        <w:spacing w:line="360" w:lineRule="auto"/>
        <w:ind w:firstLine="480"/>
        <w:rPr>
          <w:rFonts w:ascii="宋体" w:hAnsi="宋体" w:cs="宋体"/>
          <w:color w:val="000000" w:themeColor="text1"/>
        </w:rPr>
      </w:pPr>
      <w:r>
        <w:rPr>
          <w:rFonts w:hint="eastAsia" w:ascii="宋体" w:hAnsi="宋体" w:cs="宋体"/>
          <w:color w:val="000000" w:themeColor="text1"/>
        </w:rPr>
        <w:t>（1）临时占地由承包人向当地政府土地管理部门申请，并办理租用手续，承包人按有关规定直接支付其费用，发包人对此将予以协调。</w:t>
      </w:r>
    </w:p>
    <w:p w14:paraId="6BA8F1DA">
      <w:pPr>
        <w:spacing w:line="360" w:lineRule="auto"/>
        <w:ind w:firstLine="480"/>
        <w:rPr>
          <w:rFonts w:ascii="宋体" w:hAnsi="宋体" w:cs="宋体"/>
          <w:color w:val="000000" w:themeColor="text1"/>
        </w:rPr>
      </w:pPr>
      <w:r>
        <w:rPr>
          <w:rFonts w:hint="eastAsia" w:ascii="宋体" w:hAnsi="宋体" w:cs="宋体"/>
          <w:color w:val="000000" w:themeColor="text1"/>
        </w:rPr>
        <w:t>临时占地范围包括承包人驻地的办公室、食堂、宿舍、道路和机械设备停放场、材料堆放场地、弃土场、预制场、拌和场、仓库、进场临时道路、临时便道、便桥等。</w:t>
      </w:r>
    </w:p>
    <w:p w14:paraId="740D5D24">
      <w:pPr>
        <w:spacing w:line="360" w:lineRule="auto"/>
        <w:ind w:firstLine="480"/>
        <w:rPr>
          <w:rFonts w:ascii="宋体" w:hAnsi="宋体" w:cs="宋体"/>
          <w:color w:val="000000" w:themeColor="text1"/>
        </w:rPr>
      </w:pPr>
      <w:r>
        <w:rPr>
          <w:rFonts w:hint="eastAsia" w:ascii="宋体" w:hAnsi="宋体" w:cs="宋体"/>
          <w:color w:val="000000" w:themeColor="text1"/>
        </w:rPr>
        <w:t>承包人应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临时占地的租地费用包含在投标报价内，不单独计列。</w:t>
      </w:r>
    </w:p>
    <w:p w14:paraId="37F6FBA9">
      <w:pPr>
        <w:spacing w:line="360" w:lineRule="auto"/>
        <w:ind w:firstLine="480"/>
        <w:rPr>
          <w:rFonts w:ascii="宋体" w:hAnsi="宋体" w:cs="宋体"/>
          <w:color w:val="000000" w:themeColor="text1"/>
        </w:rPr>
      </w:pPr>
      <w:r>
        <w:rPr>
          <w:rFonts w:hint="eastAsia" w:ascii="宋体" w:hAnsi="宋体" w:cs="宋体"/>
          <w:color w:val="000000" w:themeColor="text1"/>
        </w:rPr>
        <w:t>临时占地退还前，承包人应自费恢复到临时占地使用前的状况。如因承包人撤离后未按要求对临时占地进行恢复或虽进行了恢复但未达到使用标准的，将由发包人委托第三方对其恢复，所发生的费用将从应付给承包人的任何款项内扣除。</w:t>
      </w:r>
    </w:p>
    <w:p w14:paraId="5CCC8846">
      <w:pPr>
        <w:spacing w:line="360" w:lineRule="auto"/>
        <w:ind w:firstLine="480"/>
        <w:rPr>
          <w:rFonts w:ascii="宋体" w:hAnsi="宋体" w:cs="宋体"/>
          <w:color w:val="000000" w:themeColor="text1"/>
        </w:rPr>
      </w:pPr>
      <w:r>
        <w:rPr>
          <w:rFonts w:hint="eastAsia" w:ascii="宋体" w:hAnsi="宋体" w:cs="宋体"/>
          <w:color w:val="000000" w:themeColor="text1"/>
        </w:rPr>
        <w:t>（2）承包人应承担并支付为获得本合同工程所需的石料、砂、砾石、黏土或其他当地材料等所发生的料场使用费及其他开支或补偿费。发包人应尽可能协助承包人办理料场租用手续及解决使用过程中的有关问题。</w:t>
      </w:r>
    </w:p>
    <w:p w14:paraId="1C8AA72F">
      <w:pPr>
        <w:spacing w:line="360" w:lineRule="auto"/>
        <w:ind w:firstLine="480"/>
        <w:rPr>
          <w:rFonts w:ascii="宋体" w:hAnsi="宋体" w:cs="宋体"/>
          <w:color w:val="000000" w:themeColor="text1"/>
        </w:rPr>
      </w:pPr>
      <w:r>
        <w:rPr>
          <w:rFonts w:hint="eastAsia" w:ascii="宋体" w:hAnsi="宋体" w:cs="宋体"/>
          <w:color w:val="000000" w:themeColor="text1"/>
        </w:rPr>
        <w:t>（3）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交通建设市场信用信息管理系统。</w:t>
      </w:r>
    </w:p>
    <w:p w14:paraId="25DED4DE">
      <w:pPr>
        <w:spacing w:line="360" w:lineRule="auto"/>
        <w:ind w:firstLine="480"/>
        <w:rPr>
          <w:rFonts w:ascii="宋体" w:hAnsi="宋体" w:cs="宋体"/>
          <w:color w:val="000000" w:themeColor="text1"/>
        </w:rPr>
      </w:pPr>
      <w:r>
        <w:rPr>
          <w:rFonts w:hint="eastAsia" w:ascii="宋体" w:hAnsi="宋体" w:cs="宋体"/>
          <w:color w:val="000000" w:themeColor="text1"/>
        </w:rPr>
        <w:t>承包人的项目经理部是民工工资支付行为的主体，承包人的项目经理是民工工资支付的责任人。承包人进场后需按《省交通运输厅关于交通工程建设领域农民工工资支付管理的实施意见（试行）》（苏交建[2018]25 号）相关要求开设农民工工资专用账户，实行银行代发工资制度。项目经理部要建立全体民工花名册和工资支付表，确保将工资直接发放给民工本人，严禁发放给“包工头”或其他不具备用工主体资格的组织和个人。</w:t>
      </w:r>
    </w:p>
    <w:p w14:paraId="4EC05E26">
      <w:pPr>
        <w:spacing w:line="360" w:lineRule="auto"/>
        <w:ind w:firstLine="480"/>
        <w:rPr>
          <w:rFonts w:ascii="宋体" w:hAnsi="宋体" w:cs="宋体"/>
          <w:color w:val="000000" w:themeColor="text1"/>
        </w:rPr>
      </w:pPr>
      <w:r>
        <w:rPr>
          <w:rFonts w:hint="eastAsia" w:ascii="宋体" w:hAnsi="宋体" w:cs="宋体"/>
          <w:color w:val="000000" w:themeColor="text1"/>
        </w:rPr>
        <w:t>工资支付表应如实记录支付单位、支付时间、支付对象、支付数额、支付对象的身份证号和签字等信息。民工花名册和工资支付表应报监理人备查。</w:t>
      </w:r>
    </w:p>
    <w:p w14:paraId="7A9DDBD0">
      <w:pPr>
        <w:spacing w:line="360" w:lineRule="auto"/>
        <w:ind w:firstLine="480"/>
        <w:rPr>
          <w:rFonts w:ascii="宋体" w:hAnsi="宋体" w:cs="宋体"/>
          <w:color w:val="000000" w:themeColor="text1"/>
        </w:rPr>
      </w:pPr>
      <w:r>
        <w:rPr>
          <w:rFonts w:hint="eastAsia" w:ascii="宋体" w:hAnsi="宋体" w:cs="宋体"/>
          <w:color w:val="000000" w:themeColor="text1"/>
        </w:rPr>
        <w:t>（4）承包人应采取信息化安全管理手段，施工现场安装视频监控系统和电子门禁系统，所需费用含在合同总价中，不单独计列。</w:t>
      </w:r>
    </w:p>
    <w:p w14:paraId="3A5C0E0A">
      <w:pPr>
        <w:spacing w:line="360" w:lineRule="auto"/>
        <w:ind w:firstLine="480"/>
        <w:rPr>
          <w:rFonts w:ascii="宋体" w:hAnsi="宋体" w:cs="宋体"/>
          <w:color w:val="000000" w:themeColor="text1"/>
        </w:rPr>
      </w:pPr>
      <w:r>
        <w:rPr>
          <w:rFonts w:hint="eastAsia" w:ascii="宋体" w:hAnsi="宋体" w:cs="宋体"/>
          <w:color w:val="000000" w:themeColor="text1"/>
        </w:rPr>
        <w:t>（5）不拖欠农民工工资</w:t>
      </w:r>
    </w:p>
    <w:p w14:paraId="73B23719">
      <w:pPr>
        <w:spacing w:line="360" w:lineRule="auto"/>
        <w:ind w:firstLine="480"/>
        <w:rPr>
          <w:rFonts w:ascii="宋体" w:hAnsi="宋体" w:cs="宋体"/>
          <w:color w:val="000000" w:themeColor="text1"/>
        </w:rPr>
      </w:pPr>
      <w:r>
        <w:rPr>
          <w:rFonts w:hint="eastAsia" w:ascii="宋体" w:hAnsi="宋体" w:cs="宋体"/>
          <w:color w:val="000000" w:themeColor="text1"/>
        </w:rPr>
        <w:t>承包人按照《劳动法》、《保障农民工工资支付条例》国务院 724 号令、交通运输部关于公路水运工程建设领域保障农民工工资支付的意见（交公路规【2020】5号）、关于印发《江苏省工程建设领域农民工工资支付管理办法》、《省交通运输厅关于交通工程建设领域保障农民工工资支付的意见》苏交规〔2021〕2号、通交建管【2018】2号、通交建【2018】5号、通交建</w:t>
      </w:r>
    </w:p>
    <w:p w14:paraId="29172599">
      <w:pPr>
        <w:spacing w:line="360" w:lineRule="auto"/>
        <w:rPr>
          <w:rFonts w:ascii="宋体" w:hAnsi="宋体" w:cs="宋体"/>
          <w:color w:val="000000" w:themeColor="text1"/>
        </w:rPr>
      </w:pPr>
      <w:r>
        <w:rPr>
          <w:rFonts w:hint="eastAsia" w:ascii="宋体" w:hAnsi="宋体" w:cs="宋体"/>
          <w:color w:val="000000" w:themeColor="text1"/>
        </w:rPr>
        <w:t>【2018】6号、通人社监〔2023〕2号、苏人社规【2022】3号、苏人社规【2022】4号（若有新的文件规定，则按最新文件的要求执行）等相关规定（以上文件要求与中华人民共和国国务院令（第724号）《保障农民工工资支付条例》有冲突的以条例内容为准）使用和管理农民工，农民工工资专款专用，设置农民工维权信息公示牌，实行按月足额支付工资制度、实名制管理制度。具体如下：</w:t>
      </w:r>
    </w:p>
    <w:p w14:paraId="05452C79">
      <w:pPr>
        <w:spacing w:line="360" w:lineRule="auto"/>
        <w:ind w:firstLine="480"/>
        <w:rPr>
          <w:rFonts w:ascii="宋体" w:hAnsi="宋体" w:cs="宋体"/>
          <w:color w:val="000000" w:themeColor="text1"/>
        </w:rPr>
      </w:pPr>
      <w:r>
        <w:rPr>
          <w:rFonts w:hint="eastAsia" w:ascii="宋体" w:hAnsi="宋体" w:cs="宋体"/>
          <w:color w:val="000000" w:themeColor="text1"/>
        </w:rPr>
        <w:t>1）农民工工资按月足额支付制度。要确保本项目参建的所有农民工通过银行卡按月足额发</w:t>
      </w:r>
    </w:p>
    <w:p w14:paraId="4D8B3A35">
      <w:pPr>
        <w:spacing w:line="360" w:lineRule="auto"/>
        <w:rPr>
          <w:rFonts w:ascii="宋体" w:hAnsi="宋体" w:cs="宋体"/>
          <w:color w:val="000000" w:themeColor="text1"/>
        </w:rPr>
      </w:pPr>
      <w:r>
        <w:rPr>
          <w:rFonts w:hint="eastAsia" w:ascii="宋体" w:hAnsi="宋体" w:cs="宋体"/>
          <w:color w:val="000000" w:themeColor="text1"/>
        </w:rPr>
        <w:t>放，杜绝当月只发最低工资标准、年终结算总额的做法；</w:t>
      </w:r>
    </w:p>
    <w:p w14:paraId="7A144A50">
      <w:pPr>
        <w:spacing w:line="360" w:lineRule="auto"/>
        <w:ind w:firstLine="480"/>
        <w:rPr>
          <w:rFonts w:ascii="宋体" w:hAnsi="宋体" w:cs="宋体"/>
          <w:color w:val="000000" w:themeColor="text1"/>
        </w:rPr>
      </w:pPr>
      <w:r>
        <w:rPr>
          <w:rFonts w:hint="eastAsia" w:ascii="宋体" w:hAnsi="宋体" w:cs="宋体"/>
          <w:color w:val="000000" w:themeColor="text1"/>
        </w:rPr>
        <w:t>2）农民工实名制管理制度。承包人要确保真实全面反映本项目工地现场所有农民工的出勤</w:t>
      </w:r>
    </w:p>
    <w:p w14:paraId="4E4B2944">
      <w:pPr>
        <w:spacing w:line="360" w:lineRule="auto"/>
        <w:rPr>
          <w:rFonts w:ascii="宋体" w:hAnsi="宋体" w:cs="宋体"/>
          <w:color w:val="000000" w:themeColor="text1"/>
        </w:rPr>
      </w:pPr>
      <w:r>
        <w:rPr>
          <w:rFonts w:hint="eastAsia" w:ascii="宋体" w:hAnsi="宋体" w:cs="宋体"/>
          <w:color w:val="000000" w:themeColor="text1"/>
        </w:rPr>
        <w:t>情况，要通过实名制考勤设备进行进出现场管理，并做好记录；</w:t>
      </w:r>
    </w:p>
    <w:p w14:paraId="4C40D801">
      <w:pPr>
        <w:spacing w:line="360" w:lineRule="auto"/>
        <w:ind w:firstLine="480"/>
        <w:rPr>
          <w:rFonts w:ascii="宋体" w:hAnsi="宋体" w:cs="宋体"/>
          <w:color w:val="000000" w:themeColor="text1"/>
        </w:rPr>
      </w:pPr>
      <w:r>
        <w:rPr>
          <w:rFonts w:hint="eastAsia" w:ascii="宋体" w:hAnsi="宋体" w:cs="宋体"/>
          <w:color w:val="000000" w:themeColor="text1"/>
        </w:rPr>
        <w:t>3）工程建设项目工程造价在300万元以下（含本数）的或工程建设项目作业工期6个月以下（含本数）的，总包单位可以不开设农民工工资专用账户。不开设农民工工资专用账户的，应依法落实实名制管理等规定，按月考核农民工工作量并编制工资支付表，由农民工本人签字确认后，通过银行转账等方式足额发放至农民工本人工资卡，并留存相关材料备查。承包人要确保人工费用拨付周期不得超过1个月。采用总包代发方式的，要制定农民工工资代发制度，并提交发包人备案检查，总包要落实代发制度的执行到位情况。</w:t>
      </w:r>
    </w:p>
    <w:p w14:paraId="12505018">
      <w:pPr>
        <w:spacing w:line="360" w:lineRule="auto"/>
        <w:ind w:firstLine="480"/>
        <w:rPr>
          <w:rFonts w:ascii="宋体" w:hAnsi="宋体" w:cs="宋体"/>
          <w:color w:val="000000" w:themeColor="text1"/>
        </w:rPr>
      </w:pPr>
      <w:r>
        <w:rPr>
          <w:rFonts w:hint="eastAsia" w:ascii="宋体" w:hAnsi="宋体" w:cs="宋体"/>
          <w:color w:val="000000" w:themeColor="text1"/>
        </w:rPr>
        <w:t>4）配备劳资专管员，规范管理劳动用工、保障农民工工资按时足额支付、构建和谐劳动关</w:t>
      </w:r>
    </w:p>
    <w:p w14:paraId="477E5E7B">
      <w:pPr>
        <w:spacing w:line="360" w:lineRule="auto"/>
        <w:rPr>
          <w:rFonts w:ascii="宋体" w:hAnsi="宋体" w:cs="宋体"/>
          <w:color w:val="000000" w:themeColor="text1"/>
        </w:rPr>
      </w:pPr>
      <w:r>
        <w:rPr>
          <w:rFonts w:hint="eastAsia" w:ascii="宋体" w:hAnsi="宋体" w:cs="宋体"/>
          <w:color w:val="000000" w:themeColor="text1"/>
        </w:rPr>
        <w:t>系。承包人在合同执行期间应该严格按照关于印发《江苏省工程建设领域农民工工资支付管理办法》、《省交通运输厅关于交通工程建设领域保障农民工工资支付的意见》苏交规〔2021〕2号、通人社监〔2023〕2 号等政策文件执行上述农民工工资保证金的规定，切实做好农民工工资保障工作。</w:t>
      </w:r>
    </w:p>
    <w:p w14:paraId="140B21D5">
      <w:pPr>
        <w:spacing w:line="360" w:lineRule="auto"/>
        <w:ind w:firstLine="480"/>
        <w:rPr>
          <w:rFonts w:ascii="宋体" w:hAnsi="宋体" w:cs="宋体"/>
          <w:color w:val="000000" w:themeColor="text1"/>
        </w:rPr>
      </w:pPr>
      <w:r>
        <w:rPr>
          <w:rFonts w:hint="eastAsia" w:ascii="宋体" w:hAnsi="宋体" w:cs="宋体"/>
          <w:color w:val="000000" w:themeColor="text1"/>
        </w:rPr>
        <w:t>（6）承包人应严格遵守国家有关解决拖欠工程款和劳务用工工资的法律、法规和规定，及时支付工程中的材料、设备货款及劳务用工工资等费用，且应签订劳务用工合同。承包人不得以任何借口拖欠材料、设备货款及劳务用工工资，如果出现此种现象，一经查实后，一律通报并责令承包人自行组织资金迅速偿还欠款。在必要时，业主有权从应付给承包人的工程款中代为支付其拖欠的材料、设备货款及民工工资。对恶意拖欠和拒不按计划支付的，将报交通主管部门。</w:t>
      </w:r>
    </w:p>
    <w:p w14:paraId="783424C9">
      <w:pPr>
        <w:spacing w:line="360" w:lineRule="auto"/>
        <w:ind w:firstLine="480"/>
        <w:rPr>
          <w:rFonts w:ascii="宋体" w:hAnsi="宋体" w:cs="宋体"/>
          <w:color w:val="000000" w:themeColor="text1"/>
        </w:rPr>
      </w:pPr>
      <w:r>
        <w:rPr>
          <w:rFonts w:hint="eastAsia" w:ascii="宋体" w:hAnsi="宋体" w:cs="宋体"/>
          <w:color w:val="000000" w:themeColor="text1"/>
        </w:rPr>
        <w:t>（7）承包人应按照“关于落实省人民政府《关于解决农民工医疗保险问题的意见》的意见（苏交招[2009]6 号）”的规定，对承包人及其分包人为本项目所使用的农民工办理与其他职工同样的城镇职工基本医疗保险，对于交通项目短期使用灵活就业的农民工的，承包人应当承诺使用的农民工参加了其户籍所在地新型农村合作医疗或者参加了用工所在地不同保障层次的城镇基本医疗保险。与之相关的费用计入合同总价中，不单独计量与支付。</w:t>
      </w:r>
    </w:p>
    <w:p w14:paraId="2EFA7F18">
      <w:pPr>
        <w:spacing w:line="360" w:lineRule="auto"/>
        <w:ind w:firstLine="480"/>
        <w:rPr>
          <w:rFonts w:ascii="宋体" w:hAnsi="宋体" w:cs="宋体"/>
          <w:color w:val="000000" w:themeColor="text1"/>
        </w:rPr>
      </w:pPr>
      <w:r>
        <w:rPr>
          <w:rFonts w:hint="eastAsia" w:ascii="宋体" w:hAnsi="宋体" w:cs="宋体"/>
          <w:color w:val="000000" w:themeColor="text1"/>
        </w:rPr>
        <w:t>（7）所有建筑垃圾（含拆除的垃圾）必须按发包人要求及时清理及外运（抛弃点自行考虑），此部分不单独计量，报价时需计入相应单价和总价中。</w:t>
      </w:r>
    </w:p>
    <w:p w14:paraId="548754D8">
      <w:pPr>
        <w:spacing w:line="360" w:lineRule="auto"/>
        <w:ind w:firstLine="480"/>
        <w:rPr>
          <w:rFonts w:ascii="宋体" w:hAnsi="宋体" w:cs="宋体"/>
          <w:color w:val="000000" w:themeColor="text1"/>
        </w:rPr>
      </w:pPr>
      <w:r>
        <w:rPr>
          <w:rFonts w:hint="eastAsia" w:ascii="宋体" w:hAnsi="宋体" w:cs="宋体"/>
          <w:color w:val="000000" w:themeColor="text1"/>
        </w:rPr>
        <w:t>（8）工程实施中发包人如需办理消防、防雷（避雷产品应采用江苏省气象局备案产品）、环保等方面的手续，承包人应积极配合，相应的配合费用均包含在相应单价中。承包人必须使用工程所在地消防部门认可的设备，并确保工程整体通过工程所在地消防部门的验收。消防验收相关协调工作等由承包人负责，与消防验收相关的一切费用包含在相关工程的单价中，不另行单独计量支付。</w:t>
      </w:r>
    </w:p>
    <w:p w14:paraId="07C8207B">
      <w:pPr>
        <w:pStyle w:val="7"/>
        <w:spacing w:before="0" w:after="0" w:line="360" w:lineRule="auto"/>
        <w:ind w:left="0" w:firstLine="0"/>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4.3 分包</w:t>
      </w:r>
    </w:p>
    <w:p w14:paraId="4D3107B3">
      <w:pPr>
        <w:spacing w:line="360" w:lineRule="auto"/>
        <w:ind w:firstLine="480"/>
        <w:rPr>
          <w:rFonts w:ascii="宋体" w:hAnsi="宋体" w:cs="宋体"/>
          <w:color w:val="000000" w:themeColor="text1"/>
        </w:rPr>
      </w:pPr>
      <w:r>
        <w:rPr>
          <w:rFonts w:hint="eastAsia" w:ascii="宋体" w:hAnsi="宋体" w:cs="宋体"/>
          <w:color w:val="000000" w:themeColor="text1"/>
        </w:rPr>
        <w:t>本项目不允许分包。</w:t>
      </w:r>
    </w:p>
    <w:p w14:paraId="71A79704">
      <w:pPr>
        <w:pStyle w:val="7"/>
        <w:spacing w:before="0" w:after="0" w:line="360" w:lineRule="auto"/>
        <w:ind w:left="1008" w:hanging="1008" w:hangingChars="478"/>
        <w:jc w:val="both"/>
        <w:rPr>
          <w:rFonts w:ascii="宋体" w:hAnsi="宋体" w:eastAsia="宋体" w:cs="宋体"/>
          <w:color w:val="000000" w:themeColor="text1"/>
          <w:sz w:val="21"/>
          <w:szCs w:val="21"/>
        </w:rPr>
      </w:pPr>
      <w:bookmarkStart w:id="276" w:name="_Toc152042422"/>
      <w:bookmarkStart w:id="277" w:name="_Toc152045644"/>
      <w:bookmarkStart w:id="278" w:name="_Toc144974612"/>
      <w:bookmarkStart w:id="279" w:name="_Toc179632662"/>
      <w:r>
        <w:rPr>
          <w:rFonts w:hint="eastAsia" w:ascii="宋体" w:hAnsi="宋体" w:eastAsia="宋体" w:cs="宋体"/>
          <w:color w:val="000000" w:themeColor="text1"/>
          <w:sz w:val="21"/>
          <w:szCs w:val="21"/>
        </w:rPr>
        <w:t>4.5 承包人项目经理</w:t>
      </w:r>
      <w:bookmarkEnd w:id="276"/>
      <w:bookmarkEnd w:id="277"/>
      <w:bookmarkEnd w:id="278"/>
      <w:bookmarkEnd w:id="279"/>
    </w:p>
    <w:p w14:paraId="31299C9F">
      <w:pPr>
        <w:spacing w:line="360" w:lineRule="auto"/>
        <w:ind w:firstLine="480"/>
        <w:rPr>
          <w:rFonts w:ascii="宋体" w:hAnsi="宋体" w:cs="宋体"/>
          <w:color w:val="000000" w:themeColor="text1"/>
        </w:rPr>
      </w:pPr>
      <w:r>
        <w:rPr>
          <w:rFonts w:hint="eastAsia" w:ascii="宋体" w:hAnsi="宋体" w:cs="宋体"/>
          <w:color w:val="000000" w:themeColor="text1"/>
        </w:rPr>
        <w:t>4.5.1款补充：</w:t>
      </w:r>
    </w:p>
    <w:p w14:paraId="7395AD82">
      <w:pPr>
        <w:spacing w:line="360" w:lineRule="auto"/>
        <w:ind w:firstLine="480"/>
        <w:rPr>
          <w:rFonts w:ascii="宋体" w:hAnsi="宋体" w:cs="宋体"/>
          <w:color w:val="000000" w:themeColor="text1"/>
        </w:rPr>
      </w:pPr>
      <w:r>
        <w:rPr>
          <w:rFonts w:hint="eastAsia" w:ascii="宋体" w:hAnsi="宋体" w:cs="宋体"/>
          <w:color w:val="000000" w:themeColor="text1"/>
        </w:rPr>
        <w:t>项目经理在本项目合同期内严禁在其它项目上任职。</w:t>
      </w:r>
      <w:r>
        <w:rPr>
          <w:rFonts w:hint="eastAsia" w:ascii="宋体" w:hAnsi="宋体" w:cs="宋体"/>
          <w:b/>
          <w:color w:val="000000" w:themeColor="text1"/>
        </w:rPr>
        <w:t>原则上，项目经理应与投标文件一致，不得更换，除非出现特殊健康原因（须省辖市级及以上医院证明）、辞职、身故等确实不能履行合同的情况；未事先征得发包人同意，承包人不得擅自更换项目经理，否则将被视为承包人违约。</w:t>
      </w:r>
      <w:r>
        <w:rPr>
          <w:rFonts w:hint="eastAsia" w:ascii="宋体" w:hAnsi="宋体" w:cs="宋体"/>
          <w:color w:val="000000" w:themeColor="text1"/>
        </w:rPr>
        <w:t>若确需更换必须获得发包人的同意并保证调整后不得低于原有的水平。但发包人有权根据工程实施情况要求承包人立即更换项目经理或承包人投入本工程的项目经理被发包人认定为不合格，对此，承包人不得拒绝，必须立即无条件更换合格并经发包人同意的项目经理，增加的费用和延误工期由承包人承担。</w:t>
      </w:r>
    </w:p>
    <w:p w14:paraId="05E63AA5">
      <w:pPr>
        <w:spacing w:line="360" w:lineRule="auto"/>
        <w:ind w:firstLine="480"/>
        <w:rPr>
          <w:rFonts w:ascii="宋体" w:hAnsi="宋体" w:cs="宋体"/>
          <w:color w:val="000000" w:themeColor="text1"/>
        </w:rPr>
      </w:pPr>
      <w:r>
        <w:rPr>
          <w:rFonts w:hint="eastAsia" w:ascii="宋体" w:hAnsi="宋体" w:cs="宋体"/>
          <w:color w:val="000000" w:themeColor="text1"/>
        </w:rPr>
        <w:t>投标人拟投入本工程的主体施工队伍目前应没有参加其它在建工程，或必须有目前在建工程的发包人的书面撤离证明，以证明一旦投标人中标，其主体施工队伍能立即撤出目前的在建工程，并能确保在发包人规定的时间内进场，开展本工程。</w:t>
      </w:r>
    </w:p>
    <w:p w14:paraId="454A2206">
      <w:pPr>
        <w:pStyle w:val="7"/>
        <w:spacing w:before="0" w:after="0" w:line="360" w:lineRule="auto"/>
        <w:ind w:left="0" w:firstLine="0"/>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4.6 承包人人员管理</w:t>
      </w:r>
    </w:p>
    <w:p w14:paraId="2B627866">
      <w:pPr>
        <w:tabs>
          <w:tab w:val="left" w:pos="3193"/>
        </w:tabs>
        <w:spacing w:line="360" w:lineRule="auto"/>
        <w:ind w:firstLine="480"/>
        <w:rPr>
          <w:rFonts w:ascii="宋体" w:hAnsi="宋体" w:cs="宋体"/>
          <w:color w:val="000000" w:themeColor="text1"/>
        </w:rPr>
      </w:pPr>
      <w:r>
        <w:rPr>
          <w:rFonts w:hint="eastAsia" w:ascii="宋体" w:hAnsi="宋体" w:cs="宋体"/>
          <w:color w:val="000000" w:themeColor="text1"/>
        </w:rPr>
        <w:t>本款补充第4.6.7项：</w:t>
      </w:r>
    </w:p>
    <w:p w14:paraId="67C0249B">
      <w:pPr>
        <w:tabs>
          <w:tab w:val="left" w:pos="3193"/>
        </w:tabs>
        <w:spacing w:line="360" w:lineRule="auto"/>
        <w:ind w:firstLine="480"/>
        <w:rPr>
          <w:rFonts w:ascii="宋体" w:hAnsi="宋体" w:cs="宋体"/>
          <w:b/>
          <w:color w:val="000000" w:themeColor="text1"/>
        </w:rPr>
      </w:pPr>
      <w:r>
        <w:rPr>
          <w:rFonts w:hint="eastAsia" w:ascii="宋体" w:hAnsi="宋体" w:cs="宋体"/>
          <w:color w:val="000000" w:themeColor="text1"/>
        </w:rPr>
        <w:t>4.6.7</w:t>
      </w:r>
      <w:r>
        <w:rPr>
          <w:rFonts w:hint="eastAsia" w:ascii="宋体" w:hAnsi="宋体" w:cs="宋体"/>
          <w:b/>
          <w:color w:val="000000" w:themeColor="text1"/>
        </w:rPr>
        <w:t>项目经理及主要管理人员离开工地现场必须得到发包人或其授权人的书面批准，并遵守发包人或其授权人制定下发的相关规定。</w:t>
      </w:r>
      <w:r>
        <w:rPr>
          <w:rFonts w:hint="eastAsia" w:ascii="宋体" w:hAnsi="宋体" w:cs="宋体"/>
          <w:b/>
          <w:color w:val="000000" w:themeColor="text1"/>
          <w:highlight w:val="none"/>
        </w:rPr>
        <w:t>项目经理必须保证至少有21天驻工地现场，其他主要管理人员驻工地现场不少于</w:t>
      </w:r>
      <w:r>
        <w:rPr>
          <w:rFonts w:hint="eastAsia" w:ascii="宋体" w:hAnsi="宋体" w:cs="宋体"/>
          <w:b/>
          <w:color w:val="000000" w:themeColor="text1"/>
          <w:highlight w:val="none"/>
          <w:lang w:val="en-US" w:eastAsia="zh-CN"/>
        </w:rPr>
        <w:t>25</w:t>
      </w:r>
      <w:r>
        <w:rPr>
          <w:rFonts w:hint="eastAsia" w:ascii="宋体" w:hAnsi="宋体" w:cs="宋体"/>
          <w:b/>
          <w:color w:val="000000" w:themeColor="text1"/>
          <w:highlight w:val="none"/>
        </w:rPr>
        <w:t>天，无论何种原因引起的驻工地现场时间不满足上述规定的或虽驻工地现场时间满足上述规定但离开工地现场未获发包人或其授权人书面批准的，发包人将视为缺勤，</w:t>
      </w:r>
      <w:r>
        <w:rPr>
          <w:rFonts w:hint="eastAsia" w:ascii="宋体" w:hAnsi="宋体" w:cs="宋体"/>
          <w:b/>
          <w:color w:val="000000" w:themeColor="text1"/>
        </w:rPr>
        <w:t>将按以下标准扣除承包人的违约金：项目经理500元/缺勤日，其他主要管理人员100元/缺勤日。</w:t>
      </w:r>
    </w:p>
    <w:p w14:paraId="08D6D037">
      <w:pPr>
        <w:tabs>
          <w:tab w:val="left" w:pos="3193"/>
        </w:tabs>
        <w:spacing w:line="360" w:lineRule="auto"/>
        <w:ind w:firstLine="482"/>
        <w:rPr>
          <w:rFonts w:ascii="宋体" w:hAnsi="宋体" w:cs="宋体"/>
          <w:b/>
          <w:color w:val="000000" w:themeColor="text1"/>
        </w:rPr>
      </w:pPr>
      <w:r>
        <w:rPr>
          <w:rFonts w:hint="eastAsia" w:ascii="宋体" w:hAnsi="宋体" w:cs="宋体"/>
          <w:b/>
          <w:color w:val="000000" w:themeColor="text1"/>
        </w:rPr>
        <w:t>上述违约金由发包人直接从当期计量款中扣除。</w:t>
      </w:r>
    </w:p>
    <w:p w14:paraId="083BA129">
      <w:pPr>
        <w:pStyle w:val="7"/>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4.7撤换承包人项目经理和其他人员</w:t>
      </w:r>
    </w:p>
    <w:p w14:paraId="10CCCC40">
      <w:pPr>
        <w:tabs>
          <w:tab w:val="left" w:pos="3193"/>
        </w:tabs>
        <w:spacing w:line="360" w:lineRule="auto"/>
        <w:ind w:firstLine="480"/>
        <w:rPr>
          <w:rFonts w:ascii="宋体" w:hAnsi="宋体" w:cs="宋体"/>
          <w:color w:val="000000" w:themeColor="text1"/>
        </w:rPr>
      </w:pPr>
      <w:r>
        <w:rPr>
          <w:rFonts w:hint="eastAsia" w:ascii="宋体" w:hAnsi="宋体" w:cs="宋体"/>
          <w:color w:val="000000" w:themeColor="text1"/>
        </w:rPr>
        <w:t>本款末补充：</w:t>
      </w:r>
    </w:p>
    <w:p w14:paraId="2FF38060">
      <w:pPr>
        <w:tabs>
          <w:tab w:val="left" w:pos="3193"/>
        </w:tabs>
        <w:spacing w:line="360" w:lineRule="auto"/>
        <w:ind w:firstLine="482"/>
        <w:rPr>
          <w:rFonts w:hint="eastAsia" w:ascii="宋体" w:hAnsi="宋体" w:cs="宋体"/>
          <w:b/>
          <w:color w:val="000000" w:themeColor="text1"/>
        </w:rPr>
      </w:pPr>
      <w:r>
        <w:rPr>
          <w:rFonts w:hint="eastAsia" w:ascii="宋体" w:hAnsi="宋体" w:cs="宋体"/>
          <w:b/>
          <w:color w:val="000000" w:themeColor="text1"/>
        </w:rPr>
        <w:t>承包人向发包人书面申请但未报批获或承包人擅自进行人员更换的，将被视为承包人违约，发包人将按如下标准扣除承包人违约金：擅自更换项目经理1000元/次，擅自更换其他主要管理人员500元/次。</w:t>
      </w:r>
    </w:p>
    <w:p w14:paraId="6B716F71">
      <w:pPr>
        <w:tabs>
          <w:tab w:val="left" w:pos="3193"/>
        </w:tabs>
        <w:spacing w:line="360" w:lineRule="auto"/>
        <w:ind w:firstLine="482"/>
        <w:rPr>
          <w:rFonts w:ascii="宋体" w:hAnsi="宋体" w:cs="宋体"/>
          <w:b/>
          <w:color w:val="000000" w:themeColor="text1"/>
        </w:rPr>
      </w:pPr>
      <w:r>
        <w:rPr>
          <w:rFonts w:hint="eastAsia" w:ascii="宋体" w:hAnsi="宋体" w:cs="宋体"/>
          <w:b/>
          <w:color w:val="000000" w:themeColor="text1"/>
        </w:rPr>
        <w:t>承包人向发包人书面申请报批获得同意后，方可进行人员的更换，并保证调整后不得低于原有的水平，且发包人将按如下标准扣除承包人违约金：更换项目经理1000元/次，更换其他主要管理人员500元/次。</w:t>
      </w:r>
    </w:p>
    <w:p w14:paraId="01822A72">
      <w:pPr>
        <w:tabs>
          <w:tab w:val="left" w:pos="3193"/>
        </w:tabs>
        <w:spacing w:line="360" w:lineRule="auto"/>
        <w:ind w:firstLine="482"/>
        <w:rPr>
          <w:rFonts w:ascii="宋体" w:hAnsi="宋体" w:cs="宋体"/>
          <w:b/>
          <w:color w:val="000000" w:themeColor="text1"/>
        </w:rPr>
      </w:pPr>
      <w:r>
        <w:rPr>
          <w:rFonts w:hint="eastAsia" w:ascii="宋体" w:hAnsi="宋体" w:cs="宋体"/>
          <w:b/>
          <w:color w:val="000000" w:themeColor="text1"/>
        </w:rPr>
        <w:t>若发包人认为承包人投入本工程的项目经理和主要管理人员被发包人认定为不合格，承包人必须按发包人要求进行更换，且发包人将按如下标准扣除承包人违约金：更换项目经理1000元/次，更换其他主要管理人员500元/次。</w:t>
      </w:r>
    </w:p>
    <w:p w14:paraId="13A6C6EC">
      <w:pPr>
        <w:tabs>
          <w:tab w:val="left" w:pos="3193"/>
        </w:tabs>
        <w:spacing w:line="360" w:lineRule="auto"/>
        <w:ind w:firstLine="482"/>
        <w:rPr>
          <w:rFonts w:ascii="宋体" w:hAnsi="宋体" w:cs="宋体"/>
          <w:b/>
          <w:color w:val="000000" w:themeColor="text1"/>
        </w:rPr>
      </w:pPr>
      <w:r>
        <w:rPr>
          <w:rFonts w:hint="eastAsia" w:ascii="宋体" w:hAnsi="宋体" w:cs="宋体"/>
          <w:b/>
          <w:color w:val="000000" w:themeColor="text1"/>
        </w:rPr>
        <w:t>上述违约金由发包人直接从当期计量款中扣除。</w:t>
      </w:r>
    </w:p>
    <w:p w14:paraId="5376B2A9">
      <w:pPr>
        <w:pStyle w:val="7"/>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4.9 工程价款应专款专用</w:t>
      </w:r>
    </w:p>
    <w:p w14:paraId="4E7C00D1">
      <w:pPr>
        <w:spacing w:line="360" w:lineRule="auto"/>
        <w:ind w:firstLine="480"/>
        <w:rPr>
          <w:rFonts w:ascii="宋体" w:hAnsi="宋体" w:cs="宋体"/>
          <w:color w:val="000000" w:themeColor="text1"/>
        </w:rPr>
      </w:pPr>
      <w:r>
        <w:rPr>
          <w:rFonts w:hint="eastAsia" w:ascii="宋体" w:hAnsi="宋体" w:cs="宋体"/>
          <w:color w:val="000000" w:themeColor="text1"/>
        </w:rPr>
        <w:t>通用条款本款内容修改为：“发包人按合同约定支付给承包人的各项价款应专用于本合同工程。承包人应向发包人授权监管本合同工程的专款专用资金，不得转移或用于其他工程。发包人有权不定期对承包人工程资金使用情况进行检查，若发现承包人未能专款专用的，发包人有权暂停支付工程进度款，直至承包人的资金使用达到专款专用的要求为止。</w:t>
      </w:r>
    </w:p>
    <w:p w14:paraId="74004B3A">
      <w:pPr>
        <w:pStyle w:val="7"/>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4.11.3可预见的不利物质条件</w:t>
      </w:r>
    </w:p>
    <w:p w14:paraId="14ECEEBF">
      <w:pPr>
        <w:spacing w:line="360" w:lineRule="auto"/>
        <w:ind w:firstLine="480"/>
        <w:rPr>
          <w:rFonts w:ascii="宋体" w:hAnsi="宋体" w:cs="宋体"/>
          <w:color w:val="000000" w:themeColor="text1"/>
        </w:rPr>
      </w:pPr>
      <w:r>
        <w:rPr>
          <w:rFonts w:hint="eastAsia" w:ascii="宋体" w:hAnsi="宋体" w:cs="宋体"/>
          <w:color w:val="000000" w:themeColor="text1"/>
        </w:rPr>
        <w:t>本项约定为：</w:t>
      </w:r>
    </w:p>
    <w:p w14:paraId="24720FD1">
      <w:pPr>
        <w:spacing w:line="360" w:lineRule="auto"/>
        <w:ind w:firstLine="480"/>
        <w:rPr>
          <w:rFonts w:ascii="宋体" w:hAnsi="宋体" w:cs="宋体"/>
          <w:color w:val="000000" w:themeColor="text1"/>
        </w:rPr>
      </w:pPr>
      <w:r>
        <w:rPr>
          <w:rFonts w:hint="eastAsia" w:ascii="宋体" w:hAnsi="宋体" w:cs="宋体"/>
          <w:color w:val="000000" w:themeColor="text1"/>
        </w:rPr>
        <w:t>本项目可预见的不利物质条件范围包括：</w:t>
      </w:r>
    </w:p>
    <w:p w14:paraId="070978F4">
      <w:pPr>
        <w:spacing w:line="360" w:lineRule="auto"/>
        <w:ind w:firstLine="480"/>
        <w:rPr>
          <w:rFonts w:ascii="宋体" w:hAnsi="宋体" w:cs="宋体"/>
          <w:color w:val="000000" w:themeColor="text1"/>
        </w:rPr>
      </w:pPr>
      <w:r>
        <w:rPr>
          <w:rFonts w:hint="eastAsia" w:ascii="宋体" w:hAnsi="宋体" w:cs="宋体"/>
          <w:color w:val="000000" w:themeColor="text1"/>
        </w:rPr>
        <w:t>a．图纸中已明确指出的不利的地下和水文条件；</w:t>
      </w:r>
    </w:p>
    <w:p w14:paraId="477D35E9">
      <w:pPr>
        <w:spacing w:line="360" w:lineRule="auto"/>
        <w:ind w:firstLine="480"/>
        <w:rPr>
          <w:rFonts w:ascii="宋体" w:hAnsi="宋体" w:cs="宋体"/>
          <w:color w:val="000000" w:themeColor="text1"/>
        </w:rPr>
      </w:pPr>
      <w:r>
        <w:rPr>
          <w:rFonts w:hint="eastAsia" w:ascii="宋体" w:hAnsi="宋体" w:cs="宋体"/>
          <w:color w:val="000000" w:themeColor="text1"/>
        </w:rPr>
        <w:t>b．工程实体过冬需要采取必要的保护措施；</w:t>
      </w:r>
    </w:p>
    <w:p w14:paraId="2D494462">
      <w:pPr>
        <w:spacing w:line="360" w:lineRule="auto"/>
        <w:ind w:firstLine="480"/>
        <w:rPr>
          <w:rFonts w:ascii="宋体" w:hAnsi="宋体" w:cs="宋体"/>
          <w:color w:val="000000" w:themeColor="text1"/>
        </w:rPr>
      </w:pPr>
      <w:r>
        <w:rPr>
          <w:rFonts w:hint="eastAsia" w:ascii="宋体" w:hAnsi="宋体" w:cs="宋体"/>
          <w:color w:val="000000" w:themeColor="text1"/>
        </w:rPr>
        <w:t>c．工程实体在雨季施工需要采取必要的保护措施；</w:t>
      </w:r>
    </w:p>
    <w:p w14:paraId="31E9C46A">
      <w:pPr>
        <w:spacing w:line="360" w:lineRule="auto"/>
        <w:ind w:firstLine="480"/>
        <w:rPr>
          <w:rFonts w:ascii="宋体" w:hAnsi="宋体" w:cs="宋体"/>
          <w:color w:val="000000" w:themeColor="text1"/>
        </w:rPr>
      </w:pPr>
      <w:r>
        <w:rPr>
          <w:rFonts w:hint="eastAsia" w:ascii="宋体" w:hAnsi="宋体" w:cs="宋体"/>
          <w:color w:val="000000" w:themeColor="text1"/>
        </w:rPr>
        <w:t>d．招标文件中已明确的不利条件。</w:t>
      </w:r>
    </w:p>
    <w:p w14:paraId="72E7A7D2">
      <w:pPr>
        <w:pStyle w:val="7"/>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5.材料和工程设备</w:t>
      </w:r>
    </w:p>
    <w:p w14:paraId="515CFD69">
      <w:pPr>
        <w:pStyle w:val="7"/>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5.1 承包人提供的材料和工程设备</w:t>
      </w:r>
    </w:p>
    <w:p w14:paraId="729B18DA">
      <w:pPr>
        <w:spacing w:line="360" w:lineRule="auto"/>
        <w:ind w:firstLine="480"/>
        <w:rPr>
          <w:rFonts w:ascii="宋体" w:hAnsi="宋体" w:cs="宋体"/>
          <w:color w:val="000000" w:themeColor="text1"/>
        </w:rPr>
      </w:pPr>
      <w:r>
        <w:rPr>
          <w:rFonts w:hint="eastAsia" w:ascii="宋体" w:hAnsi="宋体" w:cs="宋体"/>
          <w:color w:val="000000" w:themeColor="text1"/>
        </w:rPr>
        <w:t>增加：5.1.4 “本工程的所有材料均由承包人自行采购。发包人和监理人对上述材料的质量还将进行检查或抽查。”</w:t>
      </w:r>
    </w:p>
    <w:p w14:paraId="4E138B02">
      <w:pPr>
        <w:keepNext/>
        <w:keepLines/>
        <w:adjustRightInd w:val="0"/>
        <w:snapToGrid w:val="0"/>
        <w:spacing w:line="360" w:lineRule="auto"/>
        <w:textAlignment w:val="baseline"/>
        <w:outlineLvl w:val="6"/>
        <w:rPr>
          <w:rFonts w:ascii="宋体" w:hAnsi="宋体" w:cs="宋体"/>
          <w:b/>
          <w:bCs/>
          <w:color w:val="000000" w:themeColor="text1"/>
        </w:rPr>
      </w:pPr>
      <w:bookmarkStart w:id="280" w:name="_Toc173056143"/>
      <w:bookmarkStart w:id="281" w:name="_Toc149446227"/>
      <w:bookmarkStart w:id="282" w:name="_Toc149387810"/>
      <w:bookmarkStart w:id="283" w:name="_Toc149630562"/>
      <w:bookmarkStart w:id="284" w:name="_Toc149442619"/>
      <w:bookmarkStart w:id="285" w:name="_Toc149386436"/>
      <w:bookmarkStart w:id="286" w:name="_Toc149446680"/>
      <w:bookmarkStart w:id="287" w:name="_Toc149386266"/>
      <w:bookmarkStart w:id="288" w:name="_Toc173317052"/>
      <w:bookmarkStart w:id="289" w:name="_Toc149385643"/>
      <w:bookmarkStart w:id="290" w:name="_Toc149976060"/>
      <w:bookmarkStart w:id="291" w:name="_Toc173844008"/>
      <w:bookmarkStart w:id="292" w:name="_Toc149385956"/>
      <w:bookmarkStart w:id="293" w:name="_Toc149386721"/>
      <w:bookmarkStart w:id="294" w:name="_Toc186099679"/>
      <w:bookmarkStart w:id="295" w:name="_Toc149447264"/>
      <w:r>
        <w:rPr>
          <w:rFonts w:hint="eastAsia" w:ascii="宋体" w:hAnsi="宋体" w:cs="宋体"/>
          <w:b/>
          <w:bCs/>
          <w:color w:val="000000" w:themeColor="text1"/>
        </w:rPr>
        <w:t xml:space="preserve">5.3 </w:t>
      </w:r>
      <w:r>
        <w:rPr>
          <w:rFonts w:hint="eastAsia" w:ascii="宋体" w:hAnsi="宋体" w:cs="宋体"/>
          <w:b/>
          <w:color w:val="000000" w:themeColor="text1"/>
        </w:rPr>
        <w:t>材料和工程设备专用于合同工程</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50E1170">
      <w:pPr>
        <w:adjustRightInd w:val="0"/>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通用条款本款5.3.1末增加：“否则将按第22.1款视为承包人违约。”</w:t>
      </w:r>
    </w:p>
    <w:p w14:paraId="7C323371">
      <w:pPr>
        <w:keepNext/>
        <w:keepLines/>
        <w:adjustRightInd w:val="0"/>
        <w:snapToGrid w:val="0"/>
        <w:spacing w:line="360" w:lineRule="auto"/>
        <w:textAlignment w:val="baseline"/>
        <w:outlineLvl w:val="6"/>
        <w:rPr>
          <w:rFonts w:ascii="宋体" w:hAnsi="宋体" w:cs="宋体"/>
          <w:b/>
          <w:color w:val="000000" w:themeColor="text1"/>
        </w:rPr>
      </w:pPr>
      <w:bookmarkStart w:id="296" w:name="_Toc149446228"/>
      <w:bookmarkStart w:id="297" w:name="_Toc149386267"/>
      <w:bookmarkStart w:id="298" w:name="_Toc149976061"/>
      <w:bookmarkStart w:id="299" w:name="_Toc149446681"/>
      <w:bookmarkStart w:id="300" w:name="_Toc149385644"/>
      <w:bookmarkStart w:id="301" w:name="_Toc173056144"/>
      <w:bookmarkStart w:id="302" w:name="_Toc186099680"/>
      <w:bookmarkStart w:id="303" w:name="_Toc149442620"/>
      <w:bookmarkStart w:id="304" w:name="_Toc149630563"/>
      <w:bookmarkStart w:id="305" w:name="_Toc173317053"/>
      <w:bookmarkStart w:id="306" w:name="_Toc148405172"/>
      <w:bookmarkStart w:id="307" w:name="_Toc149386437"/>
      <w:bookmarkStart w:id="308" w:name="_Toc149386722"/>
      <w:bookmarkStart w:id="309" w:name="_Toc173844009"/>
      <w:bookmarkStart w:id="310" w:name="_Toc149385957"/>
      <w:bookmarkStart w:id="311" w:name="_Toc149447265"/>
      <w:bookmarkStart w:id="312" w:name="_Toc149387811"/>
      <w:r>
        <w:rPr>
          <w:rFonts w:hint="eastAsia" w:ascii="宋体" w:hAnsi="宋体" w:cs="宋体"/>
          <w:b/>
          <w:color w:val="000000" w:themeColor="text1"/>
        </w:rPr>
        <w:t>5.4 禁止使用不合格的材料和工程设备</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6C591B1">
      <w:pPr>
        <w:spacing w:line="360" w:lineRule="auto"/>
        <w:ind w:firstLine="480"/>
        <w:rPr>
          <w:rFonts w:ascii="宋体" w:hAnsi="宋体" w:cs="宋体"/>
          <w:color w:val="000000" w:themeColor="text1"/>
        </w:rPr>
      </w:pPr>
      <w:r>
        <w:rPr>
          <w:rFonts w:hint="eastAsia" w:ascii="宋体" w:hAnsi="宋体" w:cs="宋体"/>
          <w:color w:val="000000" w:themeColor="text1"/>
        </w:rPr>
        <w:t>删除通用条款本款5.4.3内容。</w:t>
      </w:r>
    </w:p>
    <w:p w14:paraId="0EB9B7B5">
      <w:pPr>
        <w:pStyle w:val="7"/>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9.2 承包人的施工安全责任</w:t>
      </w:r>
    </w:p>
    <w:p w14:paraId="0043F283">
      <w:pPr>
        <w:spacing w:line="360" w:lineRule="auto"/>
        <w:ind w:firstLine="482"/>
        <w:rPr>
          <w:rFonts w:ascii="宋体" w:hAnsi="宋体" w:cs="宋体"/>
          <w:color w:val="000000" w:themeColor="text1"/>
        </w:rPr>
      </w:pPr>
      <w:r>
        <w:rPr>
          <w:rFonts w:hint="eastAsia" w:ascii="宋体" w:hAnsi="宋体" w:cs="宋体"/>
          <w:color w:val="000000" w:themeColor="text1"/>
        </w:rPr>
        <w:t>通用条款本款末增加：</w:t>
      </w:r>
    </w:p>
    <w:p w14:paraId="7E27A786">
      <w:pPr>
        <w:spacing w:line="360" w:lineRule="auto"/>
        <w:ind w:firstLine="482"/>
        <w:rPr>
          <w:rFonts w:ascii="宋体" w:hAnsi="宋体" w:cs="宋体"/>
          <w:color w:val="000000" w:themeColor="text1"/>
        </w:rPr>
      </w:pPr>
      <w:r>
        <w:rPr>
          <w:rFonts w:hint="eastAsia" w:ascii="宋体" w:hAnsi="宋体" w:cs="宋体"/>
          <w:color w:val="000000" w:themeColor="text1"/>
        </w:rPr>
        <w:t>“9.2.1项细化为：</w:t>
      </w:r>
    </w:p>
    <w:p w14:paraId="74B5B4C5">
      <w:pPr>
        <w:spacing w:line="360" w:lineRule="auto"/>
        <w:ind w:firstLine="482"/>
        <w:rPr>
          <w:rFonts w:ascii="宋体" w:hAnsi="宋体" w:cs="宋体"/>
          <w:color w:val="000000" w:themeColor="text1"/>
        </w:rPr>
      </w:pPr>
      <w:r>
        <w:rPr>
          <w:rFonts w:hint="eastAsia" w:ascii="宋体" w:hAnsi="宋体" w:cs="宋体"/>
          <w:color w:val="000000" w:themeColor="text1"/>
        </w:rPr>
        <w:t>承包人应按合同约定履行安全职责，严格执行国家、地方政府有关施工安全管理方面的法律、法规及规章制度，同时严格执行发包人制订的本项目安全生产管理方面的规章制度、施工安全管理要求，以及监理人有关安全工作的指示。按照《公路水运工程安全生产监督管理办法》、《公路水路行业安全生产风险管理办法》、《公路水路行业安全生产事故隐患治理暂行办法》开展本标段安全生产风险管理和事故隐患治理。</w:t>
      </w:r>
    </w:p>
    <w:p w14:paraId="0F0C430A">
      <w:pPr>
        <w:spacing w:line="360" w:lineRule="auto"/>
        <w:ind w:firstLine="482"/>
        <w:rPr>
          <w:rFonts w:ascii="宋体" w:hAnsi="宋体" w:cs="宋体"/>
          <w:color w:val="000000" w:themeColor="text1"/>
        </w:rPr>
      </w:pPr>
      <w:r>
        <w:rPr>
          <w:rFonts w:hint="eastAsia" w:ascii="宋体" w:hAnsi="宋体" w:cs="宋体"/>
          <w:color w:val="000000" w:themeColor="text1"/>
        </w:rPr>
        <w:t>承包人应根据本工程的实际安全施工要求，编制本工程的实施性施工安全组织设计，并在收到发包人进场通知后28天内报送监理人审批。该施组包括(但不限于)施工安全保障体系，安全生产责任制，安全生产管理规章制度，安全防护施工方案，施工现场临时用电方案，施工安全评估，安全预控及保证措施方案、工地出入管理制度、环境卫生制度、防火制度，紧急应变措施，安全标识、警示和围护方案、周围及邻近环境保护规则等。对影响安全的重要工序和下列危险性较大的工程应编制专项施工方案，并附安全验算结果，经承包人技术负责人签字并报监理人和发包人批准后实施，由专职安全生产管理人员进行现场监督。</w:t>
      </w:r>
    </w:p>
    <w:p w14:paraId="5D91F9A8">
      <w:pPr>
        <w:spacing w:line="360" w:lineRule="auto"/>
        <w:ind w:firstLine="482"/>
        <w:rPr>
          <w:rFonts w:ascii="宋体" w:hAnsi="宋体" w:cs="宋体"/>
          <w:color w:val="000000" w:themeColor="text1"/>
        </w:rPr>
      </w:pPr>
      <w:r>
        <w:rPr>
          <w:rFonts w:hint="eastAsia" w:ascii="宋体" w:hAnsi="宋体" w:cs="宋体"/>
          <w:color w:val="000000" w:themeColor="text1"/>
        </w:rPr>
        <w:t>对承包人按此采取的安全保护措施,发包人和监理人有权监督，并向承包人提出整改要求,对此承包人应遵照执行,并承担可能发生的一切费用。</w:t>
      </w:r>
    </w:p>
    <w:p w14:paraId="3FA288B3">
      <w:pPr>
        <w:spacing w:line="360" w:lineRule="auto"/>
        <w:ind w:firstLine="482"/>
        <w:rPr>
          <w:rFonts w:ascii="宋体" w:hAnsi="宋体" w:cs="宋体"/>
          <w:color w:val="000000" w:themeColor="text1"/>
        </w:rPr>
      </w:pPr>
      <w:r>
        <w:rPr>
          <w:rFonts w:hint="eastAsia" w:ascii="宋体" w:hAnsi="宋体" w:cs="宋体"/>
          <w:color w:val="000000" w:themeColor="text1"/>
        </w:rPr>
        <w:t>监理人和发包人在检查中发现有安全问题或有违反安全管理规章制度的情况时，可视其情节轻重，分别给予承包人通报批评、警告、责令停工等处罚。</w:t>
      </w:r>
    </w:p>
    <w:p w14:paraId="0C7D3A19">
      <w:pPr>
        <w:spacing w:line="360" w:lineRule="auto"/>
        <w:ind w:firstLine="482"/>
        <w:rPr>
          <w:rFonts w:ascii="宋体" w:hAnsi="宋体" w:cs="宋体"/>
          <w:color w:val="000000" w:themeColor="text1"/>
        </w:rPr>
      </w:pPr>
      <w:r>
        <w:rPr>
          <w:rFonts w:hint="eastAsia" w:ascii="宋体" w:hAnsi="宋体" w:cs="宋体"/>
          <w:color w:val="000000" w:themeColor="text1"/>
        </w:rPr>
        <w:t>9.2.8 承包人应调查了解施工地点的水文、地质、气象及海潮等情况，负责本标段的防潮和防汛的工作。为执行本款要求而发生的费用均应认为已计入承包人的报价之中，发包人将不另行支付。凡因承包人采取措施不力而造成本标段的一切损失、工期拖延及施工费用的增加等均由承包人自行负责。</w:t>
      </w:r>
    </w:p>
    <w:p w14:paraId="28335035">
      <w:pPr>
        <w:spacing w:line="360" w:lineRule="auto"/>
        <w:ind w:firstLine="482"/>
        <w:rPr>
          <w:rFonts w:cs="宋体"/>
          <w:color w:val="000000" w:themeColor="text1"/>
        </w:rPr>
      </w:pPr>
      <w:r>
        <w:rPr>
          <w:rFonts w:hint="eastAsia" w:ascii="宋体" w:hAnsi="宋体" w:cs="宋体"/>
          <w:color w:val="000000" w:themeColor="text1"/>
        </w:rPr>
        <w:t>9.2.9本项目安全生产费用按公路水运工程安全生产监督管理办法》（[2017]第25号）”和“关于印发《企业安全生产费用提取和使用管理办法》的通知（财企[2012]16号）”的规定，按招标人设定最高投标限价上限的1.5%</w:t>
      </w:r>
      <w:r>
        <w:rPr>
          <w:rFonts w:hint="eastAsia" w:cs="宋体"/>
          <w:color w:val="000000" w:themeColor="text1"/>
        </w:rPr>
        <w:t>（不</w:t>
      </w:r>
      <w:r>
        <w:rPr>
          <w:rFonts w:hint="eastAsia" w:cs="宋体"/>
          <w:color w:val="000000" w:themeColor="text1"/>
          <w:lang w:val="en-US" w:eastAsia="zh-CN"/>
        </w:rPr>
        <w:t>足</w:t>
      </w:r>
      <w:r>
        <w:rPr>
          <w:rFonts w:hint="eastAsia" w:cs="宋体"/>
          <w:color w:val="000000" w:themeColor="text1"/>
        </w:rPr>
        <w:t>1万按1万计）</w:t>
      </w:r>
      <w:r>
        <w:rPr>
          <w:rFonts w:hint="eastAsia" w:ascii="宋体" w:hAnsi="宋体" w:cs="宋体"/>
          <w:color w:val="000000" w:themeColor="text1"/>
        </w:rPr>
        <w:t>，以固定金额形式计入工程量清单中。该安全生产费用应用于施工安全防护用具及设施的采购和更新、安全施工措施的落实、安全生产条件的改善等，不得挪作他用，投标人在报价时不得修改。此项费用由承包人包干使用。如承包人在此基础上增加安全生产费用以满足项目施工需要，则承包人应在本项目工程量清单其他相关子目的单价或总额价中予以考虑，发包人不另支付。</w:t>
      </w:r>
    </w:p>
    <w:p w14:paraId="58BDEF81">
      <w:pPr>
        <w:spacing w:line="360" w:lineRule="auto"/>
        <w:ind w:firstLine="482"/>
        <w:rPr>
          <w:rFonts w:ascii="宋体" w:hAnsi="宋体" w:cs="宋体"/>
          <w:color w:val="000000" w:themeColor="text1"/>
        </w:rPr>
      </w:pPr>
      <w:r>
        <w:rPr>
          <w:rFonts w:hint="eastAsia" w:ascii="宋体" w:hAnsi="宋体" w:cs="宋体"/>
          <w:color w:val="000000" w:themeColor="text1"/>
        </w:rPr>
        <w:t xml:space="preserve"> (1)特殊工种(电工、电梯工、起重工、电焊工、车船驾驶员、爆破工、潜水工、瓦斯检验员等)应经过专业培训，并持有专业主管部门签发的合格证上岗；</w:t>
      </w:r>
    </w:p>
    <w:p w14:paraId="5D007B3C">
      <w:pPr>
        <w:spacing w:line="360" w:lineRule="auto"/>
        <w:ind w:firstLine="482"/>
        <w:rPr>
          <w:rFonts w:ascii="宋体" w:hAnsi="宋体" w:cs="宋体"/>
          <w:color w:val="000000" w:themeColor="text1"/>
        </w:rPr>
      </w:pPr>
      <w:r>
        <w:rPr>
          <w:rFonts w:hint="eastAsia" w:ascii="宋体" w:hAnsi="宋体" w:cs="宋体"/>
          <w:color w:val="000000" w:themeColor="text1"/>
        </w:rPr>
        <w:t xml:space="preserve"> (2)对于易燃易爆的材料除应专门妥善保管之外，还应配备有足够的消防设备，所有施工人员都应熟悉消防设备的性能和使用方法：</w:t>
      </w:r>
    </w:p>
    <w:p w14:paraId="348D4958">
      <w:pPr>
        <w:spacing w:line="360" w:lineRule="auto"/>
        <w:ind w:firstLine="482"/>
        <w:rPr>
          <w:rFonts w:ascii="宋体" w:hAnsi="宋体" w:cs="宋体"/>
          <w:color w:val="000000" w:themeColor="text1"/>
        </w:rPr>
      </w:pPr>
      <w:r>
        <w:rPr>
          <w:rFonts w:hint="eastAsia" w:ascii="宋体" w:hAnsi="宋体" w:cs="宋体"/>
          <w:color w:val="000000" w:themeColor="text1"/>
        </w:rPr>
        <w:t>(3)所有施工机具设备和高空作业设备均应定期检查，并有安全员的签字记录；</w:t>
      </w:r>
    </w:p>
    <w:p w14:paraId="0393888F">
      <w:pPr>
        <w:spacing w:line="360" w:lineRule="auto"/>
        <w:ind w:firstLine="482"/>
        <w:rPr>
          <w:rFonts w:ascii="宋体" w:hAnsi="宋体" w:cs="宋体"/>
          <w:color w:val="000000" w:themeColor="text1"/>
        </w:rPr>
      </w:pPr>
      <w:r>
        <w:rPr>
          <w:rFonts w:hint="eastAsia" w:ascii="宋体" w:hAnsi="宋体" w:cs="宋体"/>
          <w:color w:val="000000" w:themeColor="text1"/>
        </w:rPr>
        <w:t>9.2.10 为了保护本标段免遭损坏，或为了现场附近和过往群众的安全与方便，在确有必要的时候和地方，或当监理人或有关主管部门要求时，承包人应自费提供照明、警卫、护栅、警告标志等安全防护设施。</w:t>
      </w:r>
    </w:p>
    <w:p w14:paraId="413E4056">
      <w:pPr>
        <w:spacing w:line="360" w:lineRule="auto"/>
        <w:ind w:firstLine="482"/>
        <w:rPr>
          <w:rFonts w:ascii="宋体" w:hAnsi="宋体" w:cs="宋体"/>
          <w:color w:val="000000" w:themeColor="text1"/>
        </w:rPr>
      </w:pPr>
      <w:r>
        <w:rPr>
          <w:rFonts w:hint="eastAsia" w:ascii="宋体" w:hAnsi="宋体" w:cs="宋体"/>
          <w:color w:val="000000" w:themeColor="text1"/>
        </w:rPr>
        <w:t>9.2.11承包人应按规定办理相关施工许可，在施工作业区域设置标志和显示信号，采取相应的安全措施。由此发生的费用由承包人自行负责。</w:t>
      </w:r>
    </w:p>
    <w:p w14:paraId="0929B453">
      <w:pPr>
        <w:spacing w:line="360" w:lineRule="auto"/>
        <w:ind w:firstLine="482"/>
        <w:rPr>
          <w:rFonts w:ascii="宋体" w:hAnsi="宋体" w:cs="宋体"/>
          <w:color w:val="000000" w:themeColor="text1"/>
        </w:rPr>
      </w:pPr>
      <w:r>
        <w:rPr>
          <w:rFonts w:hint="eastAsia" w:ascii="宋体" w:hAnsi="宋体" w:cs="宋体"/>
          <w:color w:val="000000" w:themeColor="text1"/>
        </w:rPr>
        <w:t>9.2.12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33F6C463">
      <w:pPr>
        <w:spacing w:line="360" w:lineRule="auto"/>
        <w:ind w:firstLine="482"/>
        <w:rPr>
          <w:rFonts w:ascii="宋体" w:hAnsi="宋体" w:cs="宋体"/>
          <w:color w:val="000000" w:themeColor="text1"/>
        </w:rPr>
      </w:pPr>
      <w:r>
        <w:rPr>
          <w:rFonts w:hint="eastAsia" w:ascii="宋体" w:hAnsi="宋体" w:cs="宋体"/>
          <w:color w:val="000000" w:themeColor="text1"/>
        </w:rPr>
        <w:t>9.2.13发包人和监理人在检查中发现有安全违法违规行为，或对发包人、监理人检查指出问题整改不及时不闭合，或内业资料形成不及时、不完整、不规范等情况时，有权视情节轻重采取通报批评、责令停工、约谈等措施，同时有权进行罚款，并可在当期计量支付款中扣除。</w:t>
      </w:r>
    </w:p>
    <w:p w14:paraId="5F17DC37">
      <w:pPr>
        <w:pStyle w:val="7"/>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9.3 治安保卫</w:t>
      </w:r>
    </w:p>
    <w:p w14:paraId="208B898D">
      <w:pPr>
        <w:spacing w:line="360" w:lineRule="auto"/>
        <w:ind w:firstLine="480"/>
        <w:rPr>
          <w:rFonts w:ascii="宋体" w:hAnsi="宋体" w:cs="宋体"/>
          <w:color w:val="000000" w:themeColor="text1"/>
        </w:rPr>
      </w:pPr>
      <w:r>
        <w:rPr>
          <w:rFonts w:hint="eastAsia" w:ascii="宋体" w:hAnsi="宋体" w:cs="宋体"/>
          <w:color w:val="000000" w:themeColor="text1"/>
        </w:rPr>
        <w:t>通用条款本款末增加：</w:t>
      </w:r>
    </w:p>
    <w:p w14:paraId="234C44F6">
      <w:pPr>
        <w:spacing w:line="360" w:lineRule="auto"/>
        <w:ind w:firstLine="480"/>
        <w:rPr>
          <w:rFonts w:ascii="宋体" w:hAnsi="宋体" w:cs="宋体"/>
          <w:color w:val="000000" w:themeColor="text1"/>
        </w:rPr>
      </w:pPr>
      <w:r>
        <w:rPr>
          <w:rFonts w:hint="eastAsia" w:ascii="宋体" w:hAnsi="宋体" w:cs="宋体"/>
          <w:color w:val="000000" w:themeColor="text1"/>
        </w:rPr>
        <w:t>9.3.4承包人应在现场建立治安管理机构或联防组织并承担相应费用，服从发包人的管理。同时承包人应加强对所有现场施工人员的管理，尽量减少对交通等正常运营的干扰。</w:t>
      </w:r>
    </w:p>
    <w:p w14:paraId="25EDF802">
      <w:pPr>
        <w:pStyle w:val="7"/>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9.4 环境保护</w:t>
      </w:r>
    </w:p>
    <w:p w14:paraId="2DD952D2">
      <w:pPr>
        <w:spacing w:line="360" w:lineRule="auto"/>
        <w:ind w:firstLine="480"/>
        <w:rPr>
          <w:rFonts w:ascii="宋体" w:hAnsi="宋体" w:cs="宋体"/>
          <w:color w:val="000000" w:themeColor="text1"/>
        </w:rPr>
      </w:pPr>
      <w:r>
        <w:rPr>
          <w:rFonts w:hint="eastAsia" w:ascii="宋体" w:hAnsi="宋体" w:cs="宋体"/>
          <w:color w:val="000000" w:themeColor="text1"/>
        </w:rPr>
        <w:t>通用条款本款末，增加：</w:t>
      </w:r>
    </w:p>
    <w:p w14:paraId="45803889">
      <w:pPr>
        <w:spacing w:line="360" w:lineRule="auto"/>
        <w:ind w:firstLine="480"/>
        <w:rPr>
          <w:rFonts w:ascii="宋体" w:hAnsi="宋体" w:cs="宋体"/>
          <w:color w:val="000000" w:themeColor="text1"/>
        </w:rPr>
      </w:pPr>
      <w:r>
        <w:rPr>
          <w:rFonts w:hint="eastAsia" w:ascii="宋体" w:hAnsi="宋体" w:cs="宋体"/>
          <w:color w:val="000000" w:themeColor="text1"/>
        </w:rPr>
        <w:t>9.4.7施工期间承包人应严格执行关于生态的环保措施要求，严禁捕捞和捕杀珍稀水生生物。禁止将废弃物、散体施工材料抛入河中、湖中、江中。</w:t>
      </w:r>
    </w:p>
    <w:p w14:paraId="1BBD9375">
      <w:pPr>
        <w:spacing w:line="360" w:lineRule="auto"/>
        <w:ind w:firstLine="480"/>
        <w:rPr>
          <w:rFonts w:ascii="宋体" w:hAnsi="宋体" w:cs="宋体"/>
          <w:color w:val="000000" w:themeColor="text1"/>
        </w:rPr>
      </w:pPr>
      <w:r>
        <w:rPr>
          <w:rFonts w:hint="eastAsia" w:ascii="宋体" w:hAnsi="宋体" w:cs="宋体"/>
          <w:color w:val="000000" w:themeColor="text1"/>
        </w:rPr>
        <w:t>9.4.8 承包人应严格遵守交通、水利、环保、渔政等有关部门的规定，切实执行保证航行安全的各项安全防护措施，并保证施工安全，严格防止污染水域，严格执行各项环保措施。</w:t>
      </w:r>
    </w:p>
    <w:p w14:paraId="19CC76A9">
      <w:pPr>
        <w:spacing w:line="360" w:lineRule="auto"/>
        <w:ind w:firstLine="480"/>
        <w:rPr>
          <w:rFonts w:ascii="宋体" w:hAnsi="宋体" w:cs="宋体"/>
          <w:color w:val="000000" w:themeColor="text1"/>
        </w:rPr>
      </w:pPr>
      <w:r>
        <w:rPr>
          <w:rFonts w:hint="eastAsia" w:ascii="宋体" w:hAnsi="宋体" w:cs="宋体"/>
          <w:color w:val="000000" w:themeColor="text1"/>
        </w:rPr>
        <w:t>9.4.9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4661B541">
      <w:pPr>
        <w:spacing w:line="360" w:lineRule="auto"/>
        <w:ind w:firstLine="480"/>
        <w:rPr>
          <w:rFonts w:ascii="宋体" w:hAnsi="宋体" w:cs="宋体"/>
          <w:color w:val="000000" w:themeColor="text1"/>
        </w:rPr>
      </w:pPr>
      <w:r>
        <w:rPr>
          <w:rFonts w:hint="eastAsia" w:ascii="宋体" w:hAnsi="宋体" w:cs="宋体"/>
          <w:color w:val="000000" w:themeColor="text1"/>
        </w:rPr>
        <w:t>9.4.10 在施工期间，承包人应随时保持现场整洁，施工设备和材料、工程设备应整齐妥善存放和贮存，废料与垃圾及不再需要的临时设施应及时从现场清除、拆除并运走。</w:t>
      </w:r>
    </w:p>
    <w:p w14:paraId="4EF25340">
      <w:pPr>
        <w:spacing w:line="360" w:lineRule="auto"/>
        <w:ind w:firstLine="480"/>
        <w:rPr>
          <w:rFonts w:ascii="宋体" w:hAnsi="宋体" w:cs="宋体"/>
          <w:color w:val="000000" w:themeColor="text1"/>
        </w:rPr>
      </w:pPr>
      <w:r>
        <w:rPr>
          <w:rFonts w:hint="eastAsia" w:ascii="宋体" w:hAnsi="宋体" w:cs="宋体"/>
          <w:color w:val="000000" w:themeColor="text1"/>
        </w:rPr>
        <w:t>如果由于承包人未执行有关规定而发生赔偿，一切损失及费用应由承包人自行承担。</w:t>
      </w:r>
    </w:p>
    <w:p w14:paraId="7D32B131">
      <w:pPr>
        <w:pStyle w:val="7"/>
        <w:spacing w:before="0" w:after="0" w:line="360" w:lineRule="auto"/>
        <w:ind w:left="0" w:firstLine="0"/>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10.1 合同进度计划</w:t>
      </w:r>
    </w:p>
    <w:p w14:paraId="038BF82B">
      <w:pPr>
        <w:adjustRightInd w:val="0"/>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删除通用条款本款原内容，改为：</w:t>
      </w:r>
    </w:p>
    <w:p w14:paraId="55BA58AD">
      <w:pPr>
        <w:adjustRightInd w:val="0"/>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承包人应在签订合同协议书后28天内，向监理人和发包人提交8份符合合同规定的工程进度计划，以及为完成该计划而建议采用的实施性的施工安排和施工方案的说明。监理人和发包人应在收到该计划后的14天内审查同意或提出修改意见，承包人应认真修改后及时重新上报，直至监理人和发包人同意后生效。工程进度计划应按照关键线路网络图和主要工作横道图两种形式分别编绘，并应包括每月预计完成的工作量和形象进度。”</w:t>
      </w:r>
    </w:p>
    <w:p w14:paraId="48CB7FBE">
      <w:pPr>
        <w:keepNext/>
        <w:keepLines/>
        <w:adjustRightInd w:val="0"/>
        <w:snapToGrid w:val="0"/>
        <w:spacing w:line="360" w:lineRule="auto"/>
        <w:textAlignment w:val="baseline"/>
        <w:outlineLvl w:val="6"/>
        <w:rPr>
          <w:rFonts w:ascii="宋体" w:hAnsi="宋体" w:cs="宋体"/>
          <w:b/>
          <w:bCs/>
          <w:color w:val="000000" w:themeColor="text1"/>
        </w:rPr>
      </w:pPr>
      <w:bookmarkStart w:id="313" w:name="_Toc149442634"/>
      <w:bookmarkStart w:id="314" w:name="_Toc149386736"/>
      <w:bookmarkStart w:id="315" w:name="_Toc149630578"/>
      <w:bookmarkStart w:id="316" w:name="_Toc149976076"/>
      <w:bookmarkStart w:id="317" w:name="_Toc149447280"/>
      <w:bookmarkStart w:id="318" w:name="_Toc149385971"/>
      <w:bookmarkStart w:id="319" w:name="_Toc149386281"/>
      <w:bookmarkStart w:id="320" w:name="_Toc173844026"/>
      <w:bookmarkStart w:id="321" w:name="_Toc149386451"/>
      <w:bookmarkStart w:id="322" w:name="_Toc173056161"/>
      <w:bookmarkStart w:id="323" w:name="_Toc186099698"/>
      <w:bookmarkStart w:id="324" w:name="_Toc149446243"/>
      <w:bookmarkStart w:id="325" w:name="_Toc173317070"/>
      <w:bookmarkStart w:id="326" w:name="_Toc149446696"/>
      <w:bookmarkStart w:id="327" w:name="_Toc149385658"/>
      <w:bookmarkStart w:id="328" w:name="_Toc149387825"/>
      <w:r>
        <w:rPr>
          <w:rFonts w:hint="eastAsia" w:ascii="宋体" w:hAnsi="宋体" w:cs="宋体"/>
          <w:b/>
          <w:bCs/>
          <w:color w:val="000000" w:themeColor="text1"/>
        </w:rPr>
        <w:t xml:space="preserve">10.2 </w:t>
      </w:r>
      <w:r>
        <w:rPr>
          <w:rFonts w:hint="eastAsia" w:ascii="宋体" w:hAnsi="宋体" w:cs="宋体"/>
          <w:b/>
          <w:color w:val="000000" w:themeColor="text1"/>
        </w:rPr>
        <w:t>合同进度计划的修订</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966EED0">
      <w:pPr>
        <w:adjustRightInd w:val="0"/>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删除通用条款本款原内容，改为：</w:t>
      </w:r>
    </w:p>
    <w:p w14:paraId="357F9EF6">
      <w:pPr>
        <w:adjustRightInd w:val="0"/>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承包人应在确保合同工期的前提下，每1个月对进度计划进行一次修订，并应在前一个进度计划的最后一个月的25日前提交给监理人和发包人。施工过程中，如果监理人和发包人认为有必要或者工程的实际进度不符合要求，监理人和发包人可要求承包人每一个月提交一次工程进度修订计划，以确保工程在预定工期内竣工。在这种情况下，承包人应在接到监理人和发包人指令后的14天内将修订后的进度计划提交给监理人和发包人。修改后的工程进度计划，仍应保证本合同工程在合同规定的工期内完成。</w:t>
      </w:r>
    </w:p>
    <w:p w14:paraId="28EF4E2A">
      <w:pPr>
        <w:adjustRightInd w:val="0"/>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在合同总工期未变的前提下，发包人或监理人根据工程实际情况或他认为有必要的任何其它理由而对工程分阶段所进行的进度计划调整，承包人应无条件地服从。由此而可能引起工程费用投入的变化发包人将不另考虑。”</w:t>
      </w:r>
    </w:p>
    <w:p w14:paraId="280F2AE7">
      <w:pPr>
        <w:keepNext/>
        <w:keepLines/>
        <w:adjustRightInd w:val="0"/>
        <w:snapToGrid w:val="0"/>
        <w:spacing w:line="360" w:lineRule="auto"/>
        <w:textAlignment w:val="baseline"/>
        <w:outlineLvl w:val="6"/>
        <w:rPr>
          <w:rFonts w:ascii="宋体" w:hAnsi="宋体" w:cs="宋体"/>
          <w:b/>
          <w:bCs/>
          <w:color w:val="000000" w:themeColor="text1"/>
        </w:rPr>
      </w:pPr>
      <w:bookmarkStart w:id="329" w:name="_Toc149976078"/>
      <w:bookmarkStart w:id="330" w:name="_Toc149386453"/>
      <w:bookmarkStart w:id="331" w:name="_Toc149386283"/>
      <w:bookmarkStart w:id="332" w:name="_Toc149447282"/>
      <w:bookmarkStart w:id="333" w:name="_Toc149387827"/>
      <w:bookmarkStart w:id="334" w:name="_Toc149386738"/>
      <w:bookmarkStart w:id="335" w:name="_Toc173844028"/>
      <w:bookmarkStart w:id="336" w:name="_Toc173317072"/>
      <w:bookmarkStart w:id="337" w:name="_Toc149442636"/>
      <w:bookmarkStart w:id="338" w:name="_Toc149385660"/>
      <w:bookmarkStart w:id="339" w:name="_Toc149630580"/>
      <w:bookmarkStart w:id="340" w:name="_Toc186099700"/>
      <w:bookmarkStart w:id="341" w:name="_Toc149446245"/>
      <w:bookmarkStart w:id="342" w:name="_Toc149446698"/>
      <w:bookmarkStart w:id="343" w:name="_Toc173056163"/>
      <w:bookmarkStart w:id="344" w:name="_Toc149385973"/>
      <w:r>
        <w:rPr>
          <w:rFonts w:hint="eastAsia" w:ascii="宋体" w:hAnsi="宋体" w:cs="宋体"/>
          <w:b/>
          <w:bCs/>
          <w:color w:val="000000" w:themeColor="text1"/>
        </w:rPr>
        <w:t xml:space="preserve">11.1 </w:t>
      </w:r>
      <w:r>
        <w:rPr>
          <w:rFonts w:hint="eastAsia" w:ascii="宋体" w:hAnsi="宋体" w:cs="宋体"/>
          <w:b/>
          <w:color w:val="000000" w:themeColor="text1"/>
        </w:rPr>
        <w:t>开工</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4BF92EB">
      <w:pPr>
        <w:adjustRightInd w:val="0"/>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删除通用条款本款原内容，改为：</w:t>
      </w:r>
    </w:p>
    <w:p w14:paraId="69D20541">
      <w:pPr>
        <w:adjustRightInd w:val="0"/>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“工程开工分项目开工和分部工程开工两种：</w:t>
      </w:r>
    </w:p>
    <w:p w14:paraId="4A5ACA55">
      <w:pPr>
        <w:adjustRightInd w:val="0"/>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1）项目开工：承包人应在签订合同协议书后14天内向监理人提交开工报告，主要内容应包括：施工管理机构的建立，劳务、机械设备、材料的进场情况，临时设施的修建及总体施工组织设计等。开工报告经监理人审查通过并报发包人同意后，由监理人发出项目开工通知，工期自监理人发出开工令之日起计算。承包人应在开工日期后应尽快连续的施工。</w:t>
      </w:r>
    </w:p>
    <w:p w14:paraId="7759E759">
      <w:pPr>
        <w:adjustRightInd w:val="0"/>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2）分部工程开工：承包人应在分部工程开工前14天向监理人提交分部工程开工报告，若承包人的开工准备、工作计划和质量控制方法是可接受的且已获得批准，分部工程开工报告经监理人通过并报发包人同意后，分部工程才能开工。”</w:t>
      </w:r>
    </w:p>
    <w:p w14:paraId="0CC052ED">
      <w:pPr>
        <w:keepNext/>
        <w:keepLines/>
        <w:adjustRightInd w:val="0"/>
        <w:snapToGrid w:val="0"/>
        <w:spacing w:line="360" w:lineRule="auto"/>
        <w:textAlignment w:val="baseline"/>
        <w:outlineLvl w:val="6"/>
        <w:rPr>
          <w:rFonts w:ascii="宋体" w:hAnsi="宋体" w:cs="宋体"/>
          <w:b/>
          <w:bCs/>
          <w:color w:val="000000" w:themeColor="text1"/>
        </w:rPr>
      </w:pPr>
      <w:bookmarkStart w:id="345" w:name="_Toc173844030"/>
      <w:bookmarkStart w:id="346" w:name="_Toc173317074"/>
      <w:bookmarkStart w:id="347" w:name="_Toc173056165"/>
      <w:bookmarkStart w:id="348" w:name="_Toc186099702"/>
      <w:r>
        <w:rPr>
          <w:rFonts w:hint="eastAsia" w:ascii="宋体" w:hAnsi="宋体" w:cs="宋体"/>
          <w:b/>
          <w:bCs/>
          <w:color w:val="000000" w:themeColor="text1"/>
        </w:rPr>
        <w:t>11.3</w:t>
      </w:r>
      <w:r>
        <w:rPr>
          <w:rFonts w:hint="eastAsia" w:ascii="宋体" w:hAnsi="宋体" w:cs="宋体"/>
          <w:b/>
          <w:color w:val="000000" w:themeColor="text1"/>
        </w:rPr>
        <w:t>发包人的工期延误</w:t>
      </w:r>
      <w:bookmarkEnd w:id="345"/>
      <w:bookmarkEnd w:id="346"/>
      <w:bookmarkEnd w:id="347"/>
      <w:bookmarkEnd w:id="348"/>
    </w:p>
    <w:p w14:paraId="0362C0EF">
      <w:pPr>
        <w:adjustRightInd w:val="0"/>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本款末增加：</w:t>
      </w:r>
    </w:p>
    <w:p w14:paraId="2D8A1DC1">
      <w:pPr>
        <w:adjustRightInd w:val="0"/>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由于发包人的延误或阻碍，影响关键线路变化的，工期延长，费用不调整；不影响关键线路变化的，工期、费用均不调整。</w:t>
      </w:r>
    </w:p>
    <w:p w14:paraId="28F2369F">
      <w:pPr>
        <w:pStyle w:val="7"/>
        <w:spacing w:before="0" w:after="0" w:line="360" w:lineRule="auto"/>
        <w:ind w:left="0" w:firstLine="0"/>
        <w:jc w:val="both"/>
        <w:rPr>
          <w:rFonts w:ascii="宋体" w:hAnsi="宋体" w:eastAsia="宋体" w:cs="宋体"/>
          <w:color w:val="000000" w:themeColor="text1"/>
          <w:sz w:val="21"/>
          <w:szCs w:val="21"/>
        </w:rPr>
      </w:pPr>
      <w:bookmarkStart w:id="349" w:name="_Toc152042475"/>
      <w:bookmarkStart w:id="350" w:name="_Toc144974666"/>
      <w:bookmarkStart w:id="351" w:name="_Toc152045697"/>
      <w:bookmarkStart w:id="352" w:name="_Toc179632715"/>
      <w:r>
        <w:rPr>
          <w:rFonts w:hint="eastAsia" w:ascii="宋体" w:hAnsi="宋体" w:eastAsia="宋体" w:cs="宋体"/>
          <w:color w:val="000000" w:themeColor="text1"/>
          <w:sz w:val="21"/>
          <w:szCs w:val="21"/>
        </w:rPr>
        <w:t>11.4  异常恶劣的气候条件</w:t>
      </w:r>
    </w:p>
    <w:p w14:paraId="71E0F3FA">
      <w:pPr>
        <w:adjustRightInd w:val="0"/>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删除通用条款本款原内容，改为：</w:t>
      </w:r>
    </w:p>
    <w:p w14:paraId="07C22C5C">
      <w:pPr>
        <w:adjustRightInd w:val="0"/>
        <w:snapToGrid w:val="0"/>
        <w:spacing w:line="360" w:lineRule="auto"/>
        <w:ind w:firstLine="422" w:firstLineChars="200"/>
        <w:rPr>
          <w:rFonts w:ascii="宋体" w:hAnsi="宋体" w:cs="宋体"/>
          <w:b/>
          <w:color w:val="000000" w:themeColor="text1"/>
        </w:rPr>
      </w:pPr>
      <w:r>
        <w:rPr>
          <w:rFonts w:hint="eastAsia" w:ascii="宋体" w:hAnsi="宋体" w:cs="宋体"/>
          <w:b/>
          <w:color w:val="000000" w:themeColor="text1"/>
        </w:rPr>
        <w:t>承包人应充分研究、估计本工程实施中的各项异常恶劣的气候条件及各项风险，合理计划安排，采取相应措施保证工期，由于气候条件影响的工期不予延长。</w:t>
      </w:r>
    </w:p>
    <w:p w14:paraId="3E1A3950">
      <w:pPr>
        <w:keepNext/>
        <w:keepLines/>
        <w:adjustRightInd w:val="0"/>
        <w:snapToGrid w:val="0"/>
        <w:spacing w:line="360" w:lineRule="auto"/>
        <w:textAlignment w:val="baseline"/>
        <w:outlineLvl w:val="6"/>
        <w:rPr>
          <w:rFonts w:ascii="宋体" w:hAnsi="宋体" w:cs="宋体"/>
          <w:b/>
          <w:bCs/>
          <w:color w:val="000000" w:themeColor="text1"/>
        </w:rPr>
      </w:pPr>
      <w:bookmarkStart w:id="353" w:name="_Toc149387833"/>
      <w:bookmarkStart w:id="354" w:name="_Toc149385666"/>
      <w:bookmarkStart w:id="355" w:name="_Toc149386459"/>
      <w:bookmarkStart w:id="356" w:name="_Toc149630586"/>
      <w:bookmarkStart w:id="357" w:name="_Toc149447288"/>
      <w:bookmarkStart w:id="358" w:name="_Toc149385979"/>
      <w:bookmarkStart w:id="359" w:name="_Toc149386289"/>
      <w:bookmarkStart w:id="360" w:name="_Toc173844035"/>
      <w:bookmarkStart w:id="361" w:name="_Toc149446251"/>
      <w:bookmarkStart w:id="362" w:name="_Toc173317079"/>
      <w:bookmarkStart w:id="363" w:name="_Toc186099707"/>
      <w:bookmarkStart w:id="364" w:name="_Toc149976084"/>
      <w:bookmarkStart w:id="365" w:name="_Toc149386744"/>
      <w:bookmarkStart w:id="366" w:name="_Toc149446704"/>
      <w:bookmarkStart w:id="367" w:name="_Toc149442642"/>
      <w:bookmarkStart w:id="368" w:name="_Toc173056170"/>
      <w:r>
        <w:rPr>
          <w:rFonts w:hint="eastAsia" w:ascii="宋体" w:hAnsi="宋体" w:cs="宋体"/>
          <w:b/>
          <w:bCs/>
          <w:color w:val="000000" w:themeColor="text1"/>
        </w:rPr>
        <w:t xml:space="preserve">12.1 </w:t>
      </w:r>
      <w:r>
        <w:rPr>
          <w:rFonts w:hint="eastAsia" w:ascii="宋体" w:hAnsi="宋体" w:cs="宋体"/>
          <w:b/>
          <w:color w:val="000000" w:themeColor="text1"/>
        </w:rPr>
        <w:t>承包人暂停施工的责任</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75CC3F53">
      <w:pPr>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通用条款12.1.（2）内容，改为：“为工程合理施工和安全保障所必需的暂停施工；”</w:t>
      </w:r>
    </w:p>
    <w:p w14:paraId="38E3AFB1">
      <w:pPr>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通用条款12.1.（5）内容，改为：“由于气候条件引起的的暂停施工；”</w:t>
      </w:r>
    </w:p>
    <w:p w14:paraId="17318C55">
      <w:pPr>
        <w:keepNext/>
        <w:keepLines/>
        <w:adjustRightInd w:val="0"/>
        <w:snapToGrid w:val="0"/>
        <w:spacing w:line="360" w:lineRule="auto"/>
        <w:textAlignment w:val="baseline"/>
        <w:outlineLvl w:val="6"/>
        <w:rPr>
          <w:rFonts w:ascii="宋体" w:hAnsi="宋体" w:cs="宋体"/>
          <w:b/>
          <w:bCs/>
          <w:color w:val="000000" w:themeColor="text1"/>
        </w:rPr>
      </w:pPr>
      <w:r>
        <w:rPr>
          <w:rFonts w:hint="eastAsia" w:ascii="宋体" w:hAnsi="宋体" w:cs="宋体"/>
          <w:b/>
          <w:bCs/>
          <w:color w:val="000000" w:themeColor="text1"/>
        </w:rPr>
        <w:t xml:space="preserve">12.2 </w:t>
      </w:r>
      <w:r>
        <w:rPr>
          <w:rFonts w:hint="eastAsia" w:ascii="宋体" w:hAnsi="宋体" w:cs="宋体"/>
          <w:b/>
          <w:color w:val="000000" w:themeColor="text1"/>
        </w:rPr>
        <w:t>发包人暂停施工的责任</w:t>
      </w:r>
    </w:p>
    <w:p w14:paraId="0DBBC06C">
      <w:pPr>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通用条款本款内容修改为：“由于发包人原因引起的暂停施工所造成的工期延误的，工期延长，费用不调整。”</w:t>
      </w:r>
    </w:p>
    <w:p w14:paraId="1800E11D">
      <w:pPr>
        <w:keepNext/>
        <w:keepLines/>
        <w:adjustRightInd w:val="0"/>
        <w:snapToGrid w:val="0"/>
        <w:spacing w:line="360" w:lineRule="auto"/>
        <w:textAlignment w:val="baseline"/>
        <w:outlineLvl w:val="6"/>
        <w:rPr>
          <w:rFonts w:ascii="宋体" w:hAnsi="宋体" w:cs="宋体"/>
          <w:b/>
          <w:bCs/>
          <w:color w:val="000000" w:themeColor="text1"/>
        </w:rPr>
      </w:pPr>
      <w:r>
        <w:rPr>
          <w:rFonts w:hint="eastAsia" w:ascii="宋体" w:hAnsi="宋体" w:cs="宋体"/>
          <w:b/>
          <w:bCs/>
          <w:color w:val="000000" w:themeColor="text1"/>
        </w:rPr>
        <w:t xml:space="preserve">12.4 </w:t>
      </w:r>
      <w:r>
        <w:rPr>
          <w:rFonts w:hint="eastAsia" w:ascii="宋体" w:hAnsi="宋体" w:cs="宋体"/>
          <w:b/>
          <w:color w:val="000000" w:themeColor="text1"/>
        </w:rPr>
        <w:t>暂停施工后的复工</w:t>
      </w:r>
    </w:p>
    <w:p w14:paraId="67CA08B8">
      <w:pPr>
        <w:spacing w:line="360" w:lineRule="auto"/>
        <w:ind w:firstLine="480"/>
        <w:rPr>
          <w:rFonts w:ascii="宋体" w:hAnsi="宋体" w:cs="宋体"/>
          <w:color w:val="000000" w:themeColor="text1"/>
          <w:u w:val="single"/>
        </w:rPr>
      </w:pPr>
      <w:r>
        <w:rPr>
          <w:rFonts w:hint="eastAsia" w:ascii="宋体" w:hAnsi="宋体" w:cs="宋体"/>
          <w:color w:val="000000" w:themeColor="text1"/>
        </w:rPr>
        <w:t>通用条款12.4.2款内容修改为：“承包人无故拖延和拒绝复工的，由此增加的费用和工期延误由承包人承担；因发包人原因无法按时复工的，工期给予延长，费用不调整。”</w:t>
      </w:r>
    </w:p>
    <w:p w14:paraId="04E27574">
      <w:pPr>
        <w:pStyle w:val="7"/>
        <w:spacing w:before="0" w:after="0" w:line="360" w:lineRule="auto"/>
        <w:ind w:left="0" w:firstLine="0"/>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13.1工程质量要求</w:t>
      </w:r>
    </w:p>
    <w:p w14:paraId="4A0B5669">
      <w:pPr>
        <w:snapToGrid w:val="0"/>
        <w:spacing w:line="360" w:lineRule="auto"/>
        <w:ind w:firstLine="420" w:firstLineChars="200"/>
        <w:rPr>
          <w:rFonts w:ascii="宋体" w:hAnsi="宋体" w:cs="宋体"/>
          <w:color w:val="000000" w:themeColor="text1"/>
        </w:rPr>
      </w:pPr>
      <w:r>
        <w:rPr>
          <w:rFonts w:hint="eastAsia" w:ascii="宋体" w:hAnsi="宋体" w:cs="宋体"/>
          <w:color w:val="000000" w:themeColor="text1"/>
        </w:rPr>
        <w:t>13.1.1工程质量验收标准：完工验收优良</w:t>
      </w:r>
    </w:p>
    <w:bookmarkEnd w:id="349"/>
    <w:bookmarkEnd w:id="350"/>
    <w:bookmarkEnd w:id="351"/>
    <w:bookmarkEnd w:id="352"/>
    <w:p w14:paraId="3CB8BB01">
      <w:pPr>
        <w:pStyle w:val="7"/>
        <w:tabs>
          <w:tab w:val="clear" w:pos="1440"/>
        </w:tabs>
        <w:spacing w:before="0" w:after="0" w:line="360" w:lineRule="auto"/>
        <w:ind w:left="0" w:firstLine="0"/>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16.价格调整</w:t>
      </w:r>
    </w:p>
    <w:p w14:paraId="20D6A74A">
      <w:pPr>
        <w:spacing w:line="360" w:lineRule="auto"/>
        <w:ind w:firstLine="482"/>
        <w:rPr>
          <w:rFonts w:ascii="宋体" w:hAnsi="宋体" w:cs="宋体"/>
          <w:b/>
          <w:color w:val="000000" w:themeColor="text1"/>
        </w:rPr>
      </w:pPr>
      <w:r>
        <w:rPr>
          <w:rFonts w:hint="eastAsia" w:ascii="宋体" w:hAnsi="宋体" w:cs="宋体"/>
          <w:b/>
          <w:color w:val="000000" w:themeColor="text1"/>
        </w:rPr>
        <w:t>修改为：</w:t>
      </w:r>
    </w:p>
    <w:p w14:paraId="405AD834">
      <w:pPr>
        <w:spacing w:line="360" w:lineRule="auto"/>
        <w:ind w:firstLine="482"/>
        <w:rPr>
          <w:rFonts w:ascii="宋体" w:hAnsi="宋体" w:cs="宋体"/>
          <w:b/>
          <w:color w:val="000000" w:themeColor="text1"/>
        </w:rPr>
      </w:pPr>
      <w:r>
        <w:rPr>
          <w:rFonts w:hint="eastAsia" w:ascii="宋体" w:hAnsi="宋体" w:cs="宋体"/>
          <w:b/>
          <w:color w:val="000000" w:themeColor="text1"/>
        </w:rPr>
        <w:t>由于人工和设备等价格波动以及材料价格波动影响合同价格时，合同价格一律不予调整。</w:t>
      </w:r>
    </w:p>
    <w:p w14:paraId="7DEDDEFC">
      <w:pPr>
        <w:pStyle w:val="7"/>
        <w:tabs>
          <w:tab w:val="clear" w:pos="1440"/>
        </w:tabs>
        <w:spacing w:before="0" w:after="0" w:line="360" w:lineRule="auto"/>
        <w:jc w:val="both"/>
        <w:rPr>
          <w:rFonts w:ascii="宋体" w:hAnsi="宋体" w:eastAsia="宋体" w:cs="宋体"/>
          <w:color w:val="000000" w:themeColor="text1"/>
          <w:sz w:val="21"/>
          <w:szCs w:val="21"/>
        </w:rPr>
      </w:pPr>
      <w:bookmarkStart w:id="369" w:name="_Toc179632739"/>
      <w:bookmarkStart w:id="370" w:name="_Toc152045721"/>
      <w:bookmarkStart w:id="371" w:name="_Toc152042500"/>
      <w:bookmarkStart w:id="372" w:name="_Toc144974692"/>
      <w:r>
        <w:rPr>
          <w:rFonts w:hint="eastAsia" w:ascii="宋体" w:hAnsi="宋体" w:eastAsia="宋体" w:cs="宋体"/>
          <w:color w:val="000000" w:themeColor="text1"/>
          <w:sz w:val="21"/>
          <w:szCs w:val="21"/>
        </w:rPr>
        <w:t>17.3 工程进度付款</w:t>
      </w:r>
      <w:bookmarkEnd w:id="369"/>
      <w:bookmarkEnd w:id="370"/>
      <w:bookmarkEnd w:id="371"/>
      <w:bookmarkEnd w:id="372"/>
    </w:p>
    <w:p w14:paraId="189847A8">
      <w:pPr>
        <w:spacing w:line="360" w:lineRule="auto"/>
        <w:ind w:firstLine="482"/>
        <w:rPr>
          <w:rFonts w:ascii="宋体" w:hAnsi="宋体" w:cs="宋体"/>
          <w:color w:val="000000" w:themeColor="text1"/>
        </w:rPr>
      </w:pPr>
      <w:r>
        <w:rPr>
          <w:rFonts w:hint="eastAsia" w:ascii="宋体" w:hAnsi="宋体" w:cs="宋体"/>
          <w:color w:val="000000" w:themeColor="text1"/>
        </w:rPr>
        <w:t>17.3.1计量周期：/</w:t>
      </w:r>
    </w:p>
    <w:p w14:paraId="36D209D9">
      <w:pPr>
        <w:spacing w:line="360" w:lineRule="auto"/>
        <w:ind w:firstLine="482"/>
        <w:rPr>
          <w:rFonts w:ascii="宋体" w:hAnsi="宋体" w:cs="宋体"/>
          <w:color w:val="000000" w:themeColor="text1"/>
        </w:rPr>
      </w:pPr>
      <w:r>
        <w:rPr>
          <w:rFonts w:hint="eastAsia" w:ascii="宋体" w:hAnsi="宋体" w:cs="宋体"/>
          <w:color w:val="000000" w:themeColor="text1"/>
        </w:rPr>
        <w:t>17.3.2 进度付款申请单</w:t>
      </w:r>
    </w:p>
    <w:p w14:paraId="21269550">
      <w:pPr>
        <w:spacing w:line="360" w:lineRule="auto"/>
        <w:ind w:firstLine="482"/>
        <w:rPr>
          <w:rFonts w:ascii="宋体" w:hAnsi="宋体" w:cs="宋体"/>
          <w:color w:val="000000" w:themeColor="text1"/>
        </w:rPr>
      </w:pPr>
      <w:r>
        <w:rPr>
          <w:rFonts w:hint="eastAsia" w:ascii="宋体" w:hAnsi="宋体" w:cs="宋体"/>
          <w:color w:val="000000" w:themeColor="text1"/>
        </w:rPr>
        <w:t>删除本款“承包人应在每个付款周期末，按监理人批准的格式和专用条款约定的份数”内容，修改为“承包人应在每月25日，按监理人批准的格式递交6份进度款申请单”，</w:t>
      </w:r>
    </w:p>
    <w:p w14:paraId="40145FCE">
      <w:pPr>
        <w:spacing w:line="360" w:lineRule="auto"/>
        <w:ind w:firstLine="482"/>
        <w:rPr>
          <w:rFonts w:ascii="宋体" w:hAnsi="宋体" w:cs="宋体"/>
          <w:color w:val="000000" w:themeColor="text1"/>
        </w:rPr>
      </w:pPr>
      <w:r>
        <w:rPr>
          <w:rFonts w:hint="eastAsia" w:ascii="宋体" w:hAnsi="宋体" w:cs="宋体"/>
          <w:color w:val="000000" w:themeColor="text1"/>
        </w:rPr>
        <w:t>17.3.3 进度付款证书和支付时间</w:t>
      </w:r>
    </w:p>
    <w:p w14:paraId="74647A31">
      <w:pPr>
        <w:spacing w:line="360" w:lineRule="auto"/>
        <w:ind w:firstLine="482"/>
        <w:rPr>
          <w:rFonts w:ascii="宋体" w:hAnsi="宋体" w:cs="宋体"/>
          <w:color w:val="000000" w:themeColor="text1"/>
        </w:rPr>
      </w:pPr>
      <w:r>
        <w:rPr>
          <w:rFonts w:hint="eastAsia" w:ascii="宋体" w:hAnsi="宋体" w:cs="宋体"/>
          <w:color w:val="000000" w:themeColor="text1"/>
        </w:rPr>
        <w:t>删除通用条款（2）款内容，改为：</w:t>
      </w:r>
    </w:p>
    <w:p w14:paraId="668FE23A">
      <w:pPr>
        <w:spacing w:line="360" w:lineRule="auto"/>
        <w:ind w:firstLine="482"/>
        <w:rPr>
          <w:rFonts w:ascii="宋体" w:hAnsi="宋体" w:cs="宋体"/>
          <w:color w:val="000000" w:themeColor="text1"/>
        </w:rPr>
      </w:pPr>
      <w:r>
        <w:rPr>
          <w:rFonts w:hint="eastAsia" w:ascii="宋体" w:hAnsi="宋体" w:cs="宋体"/>
          <w:color w:val="000000" w:themeColor="text1"/>
        </w:rPr>
        <w:t>（2）发包人应在监理人收到付款申请单完成内部程序后，将应付款支付给承包人。</w:t>
      </w:r>
    </w:p>
    <w:p w14:paraId="680F1DDA">
      <w:pPr>
        <w:spacing w:line="360" w:lineRule="auto"/>
        <w:ind w:firstLine="482"/>
        <w:rPr>
          <w:rFonts w:ascii="宋体" w:hAnsi="宋体" w:cs="宋体"/>
          <w:b/>
          <w:bCs/>
          <w:color w:val="000000" w:themeColor="text1"/>
        </w:rPr>
      </w:pPr>
      <w:r>
        <w:rPr>
          <w:rFonts w:hint="eastAsia" w:ascii="宋体" w:hAnsi="宋体" w:cs="宋体"/>
          <w:b/>
          <w:bCs/>
          <w:color w:val="000000" w:themeColor="text1"/>
        </w:rPr>
        <w:t>工程款的支付方式为：项目完工验收合格且结算审核审定后一次性支付审定价的100%，以上付款均不计利息。</w:t>
      </w:r>
    </w:p>
    <w:p w14:paraId="54CE8671">
      <w:pPr>
        <w:spacing w:line="360" w:lineRule="auto"/>
        <w:ind w:firstLine="482"/>
        <w:rPr>
          <w:rFonts w:ascii="宋体" w:hAnsi="宋体" w:cs="宋体"/>
          <w:b/>
          <w:bCs/>
          <w:color w:val="000000" w:themeColor="text1"/>
        </w:rPr>
      </w:pPr>
      <w:r>
        <w:rPr>
          <w:rFonts w:hint="eastAsia" w:ascii="宋体" w:hAnsi="宋体" w:cs="宋体"/>
          <w:b/>
          <w:bCs/>
          <w:color w:val="000000" w:themeColor="text1"/>
        </w:rPr>
        <w:t>每次支付前，承包人均应出具由税务部门开具的相应金额的发票。</w:t>
      </w:r>
    </w:p>
    <w:p w14:paraId="0A676808">
      <w:pPr>
        <w:spacing w:line="360" w:lineRule="auto"/>
        <w:rPr>
          <w:rFonts w:ascii="宋体" w:hAnsi="宋体" w:cs="宋体"/>
          <w:b/>
          <w:bCs/>
          <w:color w:val="000000" w:themeColor="text1"/>
        </w:rPr>
      </w:pPr>
      <w:r>
        <w:rPr>
          <w:rFonts w:hint="eastAsia" w:ascii="宋体" w:hAnsi="宋体" w:cs="宋体"/>
          <w:b/>
          <w:bCs/>
          <w:color w:val="000000" w:themeColor="text1"/>
        </w:rPr>
        <w:t>17.7 农民工工资保障金</w:t>
      </w:r>
    </w:p>
    <w:p w14:paraId="53BC2279">
      <w:pPr>
        <w:spacing w:line="360" w:lineRule="auto"/>
        <w:ind w:firstLine="480"/>
        <w:rPr>
          <w:rFonts w:ascii="宋体" w:hAnsi="宋体" w:cs="宋体"/>
          <w:color w:val="000000" w:themeColor="text1"/>
        </w:rPr>
      </w:pPr>
      <w:r>
        <w:rPr>
          <w:rFonts w:hint="eastAsia" w:ascii="宋体" w:hAnsi="宋体" w:cs="宋体"/>
          <w:color w:val="000000" w:themeColor="text1"/>
        </w:rPr>
        <w:t>承包人按照《劳动法》、《保障农民工工资支付条例》国务院724号令、关于印发《江苏省工程建设领域农民工工资支付管理办法》、《省交通运输厅关于交通工程建设领域保障农民工工资支付的意见》苏交规【2021】2号、通交建管【2018】2号、通交建【2018】5号、通交建【2018】6号及相关规定使用和管理农民工，农民工工资需设立专用账户并专款专用，设置农民工维权信息公示牌，实行按月足额支付工资制度、实名制管理制度、农民工工资专用账户管理制度。具体如下：</w:t>
      </w:r>
    </w:p>
    <w:p w14:paraId="463486E1">
      <w:pPr>
        <w:spacing w:line="360" w:lineRule="auto"/>
        <w:ind w:firstLine="480"/>
        <w:rPr>
          <w:rFonts w:ascii="宋体" w:hAnsi="宋体" w:cs="宋体"/>
          <w:color w:val="000000" w:themeColor="text1"/>
        </w:rPr>
      </w:pPr>
      <w:r>
        <w:rPr>
          <w:rFonts w:hint="eastAsia" w:ascii="宋体" w:hAnsi="宋体" w:cs="宋体"/>
          <w:color w:val="000000" w:themeColor="text1"/>
        </w:rPr>
        <w:t>1）农民工工资按月足额支付制度。要确保本项目参建的所有农民工通过银行卡按月足额发放，杜绝当夜只发最低工资标准、年终结算总额的做法；</w:t>
      </w:r>
    </w:p>
    <w:p w14:paraId="620D231C">
      <w:pPr>
        <w:spacing w:line="360" w:lineRule="auto"/>
        <w:ind w:firstLine="480"/>
        <w:rPr>
          <w:rFonts w:ascii="宋体" w:hAnsi="宋体" w:cs="宋体"/>
          <w:color w:val="000000" w:themeColor="text1"/>
        </w:rPr>
      </w:pPr>
      <w:r>
        <w:rPr>
          <w:rFonts w:hint="eastAsia" w:ascii="宋体" w:hAnsi="宋体" w:cs="宋体"/>
          <w:color w:val="000000" w:themeColor="text1"/>
        </w:rPr>
        <w:t>2）农民工实名制管理制度。承包人要确保真实全面反映本项目工地现场所有农民工的出勤情况，要通过实名制考勤设备进行进出现场管理，并做好记录；</w:t>
      </w:r>
    </w:p>
    <w:p w14:paraId="3A64F31F">
      <w:pPr>
        <w:spacing w:line="360" w:lineRule="auto"/>
        <w:ind w:firstLine="480"/>
        <w:rPr>
          <w:rFonts w:ascii="宋体" w:hAnsi="宋体" w:cs="宋体"/>
          <w:color w:val="000000" w:themeColor="text1"/>
        </w:rPr>
      </w:pPr>
      <w:r>
        <w:rPr>
          <w:rFonts w:hint="eastAsia" w:ascii="宋体" w:hAnsi="宋体" w:cs="宋体"/>
          <w:color w:val="000000" w:themeColor="text1"/>
        </w:rPr>
        <w:t>3）农民工工资专用账户管理制度。承包人要确保专用账户人工费用拨付周期不得超过1个月。采用总包代发方式的，要制定农民工工资代发制度，并提交发包人备案检查，总包要落实代发制定的执行到位情况。</w:t>
      </w:r>
    </w:p>
    <w:p w14:paraId="2BAD7466">
      <w:pPr>
        <w:spacing w:line="360" w:lineRule="auto"/>
        <w:ind w:firstLine="480"/>
        <w:rPr>
          <w:rFonts w:ascii="宋体" w:hAnsi="宋体" w:cs="宋体"/>
          <w:color w:val="000000" w:themeColor="text1"/>
        </w:rPr>
      </w:pPr>
      <w:r>
        <w:rPr>
          <w:rFonts w:hint="eastAsia" w:ascii="宋体" w:hAnsi="宋体" w:cs="宋体"/>
          <w:color w:val="000000" w:themeColor="text1"/>
        </w:rPr>
        <w:t>承包人在合同执行期间应该严格执行上述农民工工资支付的规定，切实做好农民工工资保障工作。承包人在合同执行期间由发包人扣留工程计量款的1%作为农民工工资保障金（包含在按合同计量支付进度款后剩余的余款中），如果发生违反规定拖欠或克扣民工工资行为，造成民工上访，发包人有权按照实名制管理制度等相关规定，直接在未支付的计量款里支付拖欠的农民工工资，且承包人必须接受发包人暂停承包人1年期间参加发包人招标项目投标资格的处罚，同时接受交通行政主管部门依照有关规定作出的其它处罚决定。未发生拖欠民工资造成民工上访的，在交工验收合格后返还农民工工资保障金。</w:t>
      </w:r>
    </w:p>
    <w:p w14:paraId="623BC614">
      <w:pPr>
        <w:spacing w:line="360" w:lineRule="auto"/>
        <w:ind w:firstLine="480"/>
        <w:rPr>
          <w:rFonts w:ascii="宋体" w:hAnsi="宋体" w:cs="宋体"/>
          <w:b/>
          <w:bCs/>
          <w:color w:val="000000" w:themeColor="text1"/>
        </w:rPr>
      </w:pPr>
      <w:r>
        <w:rPr>
          <w:rFonts w:hint="eastAsia" w:ascii="宋体" w:hAnsi="宋体" w:cs="宋体"/>
          <w:color w:val="000000" w:themeColor="text1"/>
        </w:rPr>
        <w:t>开工后承包人需保证农民工工资按月足额支付制度。若发生期中支付未达最低限额不需支付当期工程款的情况，承包人也需保证农民工工资按月足额支付，由项目部统计农民工工资，按实支付。</w:t>
      </w:r>
    </w:p>
    <w:p w14:paraId="548B8EB0">
      <w:pPr>
        <w:pStyle w:val="7"/>
        <w:spacing w:before="0" w:after="0" w:line="360" w:lineRule="auto"/>
        <w:ind w:left="1008" w:hanging="1008" w:hangingChars="478"/>
        <w:jc w:val="both"/>
        <w:rPr>
          <w:rFonts w:ascii="宋体" w:hAnsi="宋体" w:eastAsia="宋体" w:cs="宋体"/>
          <w:color w:val="000000" w:themeColor="text1"/>
          <w:sz w:val="21"/>
          <w:szCs w:val="21"/>
        </w:rPr>
      </w:pPr>
      <w:bookmarkStart w:id="373" w:name="_Toc152045745"/>
      <w:bookmarkStart w:id="374" w:name="_Toc144974716"/>
      <w:bookmarkStart w:id="375" w:name="_Toc179632763"/>
      <w:bookmarkStart w:id="376" w:name="_Toc152042524"/>
      <w:r>
        <w:rPr>
          <w:rFonts w:hint="eastAsia" w:ascii="宋体" w:hAnsi="宋体" w:eastAsia="宋体" w:cs="宋体"/>
          <w:color w:val="000000" w:themeColor="text1"/>
          <w:sz w:val="21"/>
          <w:szCs w:val="21"/>
        </w:rPr>
        <w:t>20.1 工程保险</w:t>
      </w:r>
    </w:p>
    <w:p w14:paraId="797D0C6F">
      <w:pPr>
        <w:spacing w:line="360" w:lineRule="auto"/>
        <w:ind w:firstLine="480"/>
        <w:rPr>
          <w:rFonts w:ascii="宋体" w:hAnsi="宋体" w:cs="宋体"/>
          <w:color w:val="000000" w:themeColor="text1"/>
        </w:rPr>
      </w:pPr>
      <w:r>
        <w:rPr>
          <w:rFonts w:hint="eastAsia" w:ascii="宋体" w:hAnsi="宋体" w:cs="宋体"/>
          <w:color w:val="000000" w:themeColor="text1"/>
        </w:rPr>
        <w:t>本款末增加：</w:t>
      </w:r>
    </w:p>
    <w:p w14:paraId="35AA81B8">
      <w:pPr>
        <w:spacing w:line="360" w:lineRule="auto"/>
        <w:ind w:firstLine="411" w:firstLineChars="196"/>
        <w:rPr>
          <w:rFonts w:ascii="宋体" w:hAnsi="宋体" w:cs="宋体"/>
          <w:color w:val="000000" w:themeColor="text1"/>
        </w:rPr>
      </w:pPr>
      <w:r>
        <w:rPr>
          <w:rFonts w:hint="eastAsia" w:ascii="宋体" w:hAnsi="宋体" w:cs="宋体"/>
          <w:color w:val="000000" w:themeColor="text1"/>
        </w:rPr>
        <w:t>建筑工程一切险（包括不计免赔）保险期限应涵盖施工期与缺陷责任期，由</w:t>
      </w:r>
      <w:r>
        <w:rPr>
          <w:rFonts w:hint="eastAsia" w:ascii="宋体" w:hAnsi="宋体" w:cs="宋体"/>
          <w:bCs/>
          <w:color w:val="000000" w:themeColor="text1"/>
        </w:rPr>
        <w:t>承包人自行投保，保险费由承包人承担并支付，此项保险的一切费用包含在所报的投标总价中，不单独计量与支付。</w:t>
      </w:r>
    </w:p>
    <w:p w14:paraId="66518208">
      <w:pPr>
        <w:pStyle w:val="7"/>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20.2 人员工伤事故的保险</w:t>
      </w:r>
    </w:p>
    <w:p w14:paraId="0C5F9A80">
      <w:pPr>
        <w:spacing w:line="360" w:lineRule="auto"/>
        <w:ind w:firstLine="480"/>
        <w:rPr>
          <w:rFonts w:ascii="宋体" w:hAnsi="宋体" w:cs="宋体"/>
          <w:color w:val="000000" w:themeColor="text1"/>
        </w:rPr>
      </w:pPr>
      <w:r>
        <w:rPr>
          <w:rFonts w:hint="eastAsia" w:ascii="宋体" w:hAnsi="宋体" w:cs="宋体"/>
          <w:color w:val="000000" w:themeColor="text1"/>
        </w:rPr>
        <w:t>本款末增加：</w:t>
      </w:r>
    </w:p>
    <w:p w14:paraId="60657C2B">
      <w:pPr>
        <w:spacing w:line="360" w:lineRule="auto"/>
        <w:ind w:firstLine="480"/>
        <w:rPr>
          <w:rFonts w:ascii="宋体" w:hAnsi="宋体" w:cs="宋体"/>
          <w:color w:val="000000" w:themeColor="text1"/>
        </w:rPr>
      </w:pPr>
      <w:r>
        <w:rPr>
          <w:rFonts w:hint="eastAsia" w:ascii="宋体" w:hAnsi="宋体" w:cs="宋体"/>
          <w:color w:val="000000" w:themeColor="text1"/>
        </w:rPr>
        <w:t>承包人应根据《关于进一步做好建筑业工伤保险工作的意见》（人社部发[2014]103 号）、《人力资源社会保障部办公厅关于进一步做好建筑业工伤保险工作的通知》（人社厅函〔2017〕53 号）、《关于深入推进建筑交通运输水利建设项目参加工伤保险工作的通知》（苏人社发[2017]126 号）及省厅相关文件要求参加工伤保险，为其履行合同所雇佣的全部人员，缴纳工伤保险费。由</w:t>
      </w:r>
      <w:r>
        <w:rPr>
          <w:rFonts w:hint="eastAsia" w:ascii="宋体" w:hAnsi="宋体" w:cs="宋体"/>
          <w:bCs/>
          <w:color w:val="000000" w:themeColor="text1"/>
        </w:rPr>
        <w:t>承包人自行投保，保险费由承包人承担并支付，此项保险的一切费用包含在所报的投标总价中，不单独计量与支付。</w:t>
      </w:r>
    </w:p>
    <w:p w14:paraId="7F105B5C">
      <w:pPr>
        <w:pStyle w:val="7"/>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20.3 人身意外伤害险</w:t>
      </w:r>
      <w:bookmarkEnd w:id="373"/>
      <w:bookmarkEnd w:id="374"/>
      <w:bookmarkEnd w:id="375"/>
      <w:bookmarkEnd w:id="376"/>
    </w:p>
    <w:p w14:paraId="139F3587">
      <w:pPr>
        <w:spacing w:line="360" w:lineRule="auto"/>
        <w:ind w:firstLine="480"/>
        <w:rPr>
          <w:rFonts w:ascii="宋体" w:hAnsi="宋体" w:cs="宋体"/>
          <w:color w:val="000000" w:themeColor="text1"/>
        </w:rPr>
      </w:pPr>
      <w:r>
        <w:rPr>
          <w:rFonts w:hint="eastAsia" w:ascii="宋体" w:hAnsi="宋体" w:cs="宋体"/>
          <w:color w:val="000000" w:themeColor="text1"/>
        </w:rPr>
        <w:t>20.3.2 款细化为：</w:t>
      </w:r>
    </w:p>
    <w:p w14:paraId="0CD9BDA8">
      <w:pPr>
        <w:spacing w:line="360" w:lineRule="auto"/>
        <w:ind w:firstLine="480"/>
        <w:rPr>
          <w:rFonts w:ascii="宋体" w:hAnsi="宋体" w:cs="宋体"/>
          <w:color w:val="000000" w:themeColor="text1"/>
        </w:rPr>
      </w:pPr>
      <w:r>
        <w:rPr>
          <w:rFonts w:hint="eastAsia" w:ascii="宋体" w:hAnsi="宋体" w:cs="宋体"/>
          <w:color w:val="000000" w:themeColor="text1"/>
        </w:rPr>
        <w:t>承包人应在整个施工期间为其现场机构雇用的全部人员（包括临时工和民工），投保人身意外伤害险（保额不得低于人民币100 万元/人），缴纳保险费。承包人应将保险单副本交监理人备案。该项保险的一切费用应由承包人承担并支付。</w:t>
      </w:r>
    </w:p>
    <w:p w14:paraId="2265B2DA">
      <w:pPr>
        <w:spacing w:line="360" w:lineRule="auto"/>
        <w:ind w:firstLine="480"/>
        <w:rPr>
          <w:rFonts w:ascii="宋体" w:hAnsi="宋体" w:cs="宋体"/>
          <w:color w:val="000000" w:themeColor="text1"/>
        </w:rPr>
      </w:pPr>
      <w:r>
        <w:rPr>
          <w:rFonts w:hint="eastAsia" w:ascii="宋体" w:hAnsi="宋体" w:cs="宋体"/>
          <w:color w:val="000000" w:themeColor="text1"/>
        </w:rPr>
        <w:t>如果承包人雇用的工人或其他人员发生意外伤害或伤亡，应向保险公司索赔。承包人应保障发包人不承担由伤害引起的赔偿以及与此有关的一切索赔、诉讼及其他费用，除非伤亡是由于发包人或其职工的行为或过失所造成的。</w:t>
      </w:r>
    </w:p>
    <w:p w14:paraId="5C438DA9">
      <w:pPr>
        <w:spacing w:line="360" w:lineRule="auto"/>
        <w:ind w:firstLine="480"/>
        <w:rPr>
          <w:rFonts w:ascii="宋体" w:hAnsi="宋体" w:cs="宋体"/>
          <w:color w:val="000000" w:themeColor="text1"/>
        </w:rPr>
      </w:pPr>
      <w:r>
        <w:rPr>
          <w:rFonts w:hint="eastAsia" w:ascii="宋体" w:hAnsi="宋体" w:cs="宋体"/>
          <w:color w:val="000000" w:themeColor="text1"/>
        </w:rPr>
        <w:t>保险费包含在工程量清单中工程细目的单价或总额价内，不另计量与支付。</w:t>
      </w:r>
    </w:p>
    <w:p w14:paraId="386A04BB">
      <w:pPr>
        <w:pStyle w:val="7"/>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20.4 第三者责任险</w:t>
      </w:r>
    </w:p>
    <w:p w14:paraId="0A0BED2F">
      <w:pPr>
        <w:spacing w:line="360" w:lineRule="auto"/>
        <w:ind w:firstLine="480"/>
        <w:rPr>
          <w:rFonts w:ascii="宋体" w:hAnsi="宋体" w:cs="宋体"/>
          <w:color w:val="000000" w:themeColor="text1"/>
        </w:rPr>
      </w:pPr>
      <w:r>
        <w:rPr>
          <w:rFonts w:hint="eastAsia" w:ascii="宋体" w:hAnsi="宋体" w:cs="宋体"/>
          <w:color w:val="000000" w:themeColor="text1"/>
        </w:rPr>
        <w:t>本款末增加：</w:t>
      </w:r>
    </w:p>
    <w:p w14:paraId="67C02B4F">
      <w:pPr>
        <w:spacing w:line="360" w:lineRule="auto"/>
        <w:ind w:firstLine="480"/>
        <w:rPr>
          <w:rFonts w:ascii="宋体" w:hAnsi="宋体" w:cs="宋体"/>
          <w:color w:val="000000" w:themeColor="text1"/>
        </w:rPr>
      </w:pPr>
      <w:r>
        <w:rPr>
          <w:rFonts w:hint="eastAsia" w:ascii="宋体" w:hAnsi="宋体" w:cs="宋体"/>
          <w:bCs/>
          <w:color w:val="000000" w:themeColor="text1"/>
        </w:rPr>
        <w:t>第三者责任保险（包括不计免赔）由承包人自行投保，保险费由承包人承担并支付，此项保险的一切费用包含在所报的投标总价中，不单独计量与支付。</w:t>
      </w:r>
    </w:p>
    <w:p w14:paraId="5B45EFA3">
      <w:pPr>
        <w:pStyle w:val="7"/>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20.5 其他保险</w:t>
      </w:r>
    </w:p>
    <w:p w14:paraId="6289705F">
      <w:pPr>
        <w:spacing w:line="360" w:lineRule="auto"/>
        <w:ind w:firstLine="482"/>
        <w:rPr>
          <w:rFonts w:ascii="宋体" w:hAnsi="宋体" w:cs="宋体"/>
          <w:b/>
          <w:color w:val="000000" w:themeColor="text1"/>
        </w:rPr>
      </w:pPr>
      <w:r>
        <w:rPr>
          <w:rFonts w:hint="eastAsia" w:ascii="宋体" w:hAnsi="宋体" w:cs="宋体"/>
          <w:b/>
          <w:color w:val="000000" w:themeColor="text1"/>
        </w:rPr>
        <w:t>本款补充内容如下：</w:t>
      </w:r>
    </w:p>
    <w:p w14:paraId="30C0B4A7">
      <w:pPr>
        <w:spacing w:line="360" w:lineRule="auto"/>
        <w:ind w:firstLine="482"/>
        <w:rPr>
          <w:rFonts w:ascii="宋体" w:hAnsi="宋体" w:cs="宋体"/>
          <w:color w:val="000000" w:themeColor="text1"/>
        </w:rPr>
      </w:pPr>
      <w:r>
        <w:rPr>
          <w:rFonts w:hint="eastAsia" w:ascii="宋体" w:hAnsi="宋体" w:cs="宋体"/>
          <w:b/>
          <w:color w:val="000000" w:themeColor="text1"/>
        </w:rPr>
        <w:t>承包人装备险等其他保险由承包人自行投保，保险费由承包人承担并支付，此项保险的一切费用包含在所报的投标总价中，不单独计量与支付。</w:t>
      </w:r>
    </w:p>
    <w:p w14:paraId="2C07DAA6">
      <w:pPr>
        <w:pStyle w:val="7"/>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20.6对各项保险的一般要求</w:t>
      </w:r>
    </w:p>
    <w:p w14:paraId="2D4E327C">
      <w:pPr>
        <w:tabs>
          <w:tab w:val="left" w:pos="3193"/>
        </w:tabs>
        <w:spacing w:line="360" w:lineRule="auto"/>
        <w:ind w:firstLine="480"/>
        <w:rPr>
          <w:rFonts w:ascii="宋体" w:hAnsi="宋体" w:cs="宋体"/>
          <w:color w:val="000000" w:themeColor="text1"/>
        </w:rPr>
      </w:pPr>
      <w:r>
        <w:rPr>
          <w:rFonts w:hint="eastAsia" w:ascii="宋体" w:hAnsi="宋体" w:cs="宋体"/>
          <w:color w:val="000000" w:themeColor="text1"/>
        </w:rPr>
        <w:t>20.6.1保险凭证</w:t>
      </w:r>
    </w:p>
    <w:p w14:paraId="75937B12">
      <w:pPr>
        <w:tabs>
          <w:tab w:val="left" w:pos="3193"/>
        </w:tabs>
        <w:spacing w:line="360" w:lineRule="auto"/>
        <w:ind w:firstLine="480"/>
        <w:rPr>
          <w:rFonts w:ascii="宋体" w:hAnsi="宋体" w:cs="宋体"/>
          <w:color w:val="000000" w:themeColor="text1"/>
        </w:rPr>
      </w:pPr>
      <w:r>
        <w:rPr>
          <w:rFonts w:hint="eastAsia" w:ascii="宋体" w:hAnsi="宋体" w:cs="宋体"/>
          <w:color w:val="000000" w:themeColor="text1"/>
        </w:rPr>
        <w:t>20.6.1项约定为：</w:t>
      </w:r>
    </w:p>
    <w:p w14:paraId="25F99943">
      <w:pPr>
        <w:spacing w:line="360" w:lineRule="auto"/>
        <w:ind w:firstLine="480"/>
        <w:rPr>
          <w:rFonts w:ascii="宋体" w:hAnsi="宋体" w:cs="宋体"/>
          <w:color w:val="000000" w:themeColor="text1"/>
        </w:rPr>
      </w:pPr>
      <w:r>
        <w:rPr>
          <w:rFonts w:hint="eastAsia" w:ascii="宋体" w:hAnsi="宋体" w:cs="宋体"/>
          <w:color w:val="000000" w:themeColor="text1"/>
        </w:rPr>
        <w:t>承包人应在合同协议书签订后14天内向发包人提交各项保险生效的证据和保险单副本。</w:t>
      </w:r>
    </w:p>
    <w:p w14:paraId="6E748DA5">
      <w:pPr>
        <w:tabs>
          <w:tab w:val="left" w:pos="3193"/>
        </w:tabs>
        <w:spacing w:line="360" w:lineRule="auto"/>
        <w:ind w:firstLine="480"/>
        <w:rPr>
          <w:rFonts w:ascii="宋体" w:hAnsi="宋体" w:cs="宋体"/>
          <w:color w:val="000000" w:themeColor="text1"/>
        </w:rPr>
      </w:pPr>
      <w:r>
        <w:rPr>
          <w:rFonts w:hint="eastAsia" w:ascii="宋体" w:hAnsi="宋体" w:cs="宋体"/>
          <w:color w:val="000000" w:themeColor="text1"/>
        </w:rPr>
        <w:t>20.6.4保险金不足的补偿</w:t>
      </w:r>
    </w:p>
    <w:p w14:paraId="024BA7DD">
      <w:pPr>
        <w:spacing w:line="360" w:lineRule="auto"/>
        <w:ind w:firstLine="480"/>
        <w:rPr>
          <w:rFonts w:ascii="宋体" w:hAnsi="宋体" w:cs="宋体"/>
          <w:color w:val="000000" w:themeColor="text1"/>
        </w:rPr>
      </w:pPr>
      <w:r>
        <w:rPr>
          <w:rFonts w:hint="eastAsia" w:ascii="宋体" w:hAnsi="宋体" w:cs="宋体"/>
          <w:color w:val="000000" w:themeColor="text1"/>
        </w:rPr>
        <w:t>本项补充为：</w:t>
      </w:r>
    </w:p>
    <w:p w14:paraId="66A9A4E8">
      <w:pPr>
        <w:spacing w:line="360" w:lineRule="auto"/>
        <w:ind w:firstLine="480"/>
        <w:rPr>
          <w:rFonts w:ascii="宋体" w:hAnsi="宋体" w:cs="宋体"/>
          <w:color w:val="000000" w:themeColor="text1"/>
        </w:rPr>
      </w:pPr>
      <w:r>
        <w:rPr>
          <w:rFonts w:hint="eastAsia" w:ascii="宋体" w:hAnsi="宋体" w:cs="宋体"/>
          <w:color w:val="000000" w:themeColor="text1"/>
        </w:rPr>
        <w:t>保险金不足以补偿损失的（包括免赔额和超过赔偿限额的部分）均由承包人承担。</w:t>
      </w:r>
    </w:p>
    <w:p w14:paraId="3576C98F">
      <w:pPr>
        <w:pStyle w:val="7"/>
        <w:tabs>
          <w:tab w:val="clear" w:pos="1440"/>
        </w:tabs>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21.1 不可抗力的确认</w:t>
      </w:r>
    </w:p>
    <w:p w14:paraId="5DB7DAC5">
      <w:pPr>
        <w:spacing w:line="360" w:lineRule="auto"/>
        <w:ind w:firstLine="480"/>
        <w:rPr>
          <w:rFonts w:ascii="宋体" w:hAnsi="宋体" w:cs="宋体"/>
          <w:color w:val="000000" w:themeColor="text1"/>
        </w:rPr>
      </w:pPr>
      <w:r>
        <w:rPr>
          <w:rFonts w:hint="eastAsia" w:ascii="宋体" w:hAnsi="宋体" w:cs="宋体"/>
          <w:color w:val="000000" w:themeColor="text1"/>
        </w:rPr>
        <w:t>21.1.1 修改为：“21.1.1 不可抗力是指承包人和发包人在订立合同时不可预见，在工程施工过程中不可避免发生并不能克服的自然灾害和社会性突发事件。包括但不限于：</w:t>
      </w:r>
    </w:p>
    <w:p w14:paraId="7E0FCEA3">
      <w:pPr>
        <w:spacing w:line="360" w:lineRule="auto"/>
        <w:ind w:firstLine="480"/>
        <w:rPr>
          <w:rFonts w:ascii="宋体" w:hAnsi="宋体" w:cs="宋体"/>
          <w:color w:val="000000" w:themeColor="text1"/>
        </w:rPr>
      </w:pPr>
      <w:r>
        <w:rPr>
          <w:rFonts w:hint="eastAsia" w:ascii="宋体" w:hAnsi="宋体" w:cs="宋体"/>
          <w:color w:val="000000" w:themeColor="text1"/>
        </w:rPr>
        <w:t>(1)地震、海啸、火山爆发、泥石流、暴雨(雪)、台风、龙卷风、水灾等自然灾害；</w:t>
      </w:r>
    </w:p>
    <w:p w14:paraId="6A511ECA">
      <w:pPr>
        <w:spacing w:line="360" w:lineRule="auto"/>
        <w:ind w:firstLine="480"/>
        <w:rPr>
          <w:rFonts w:ascii="宋体" w:hAnsi="宋体" w:cs="宋体"/>
          <w:color w:val="000000" w:themeColor="text1"/>
        </w:rPr>
      </w:pPr>
      <w:r>
        <w:rPr>
          <w:rFonts w:hint="eastAsia" w:ascii="宋体" w:hAnsi="宋体" w:cs="宋体"/>
          <w:color w:val="000000" w:themeColor="text1"/>
        </w:rPr>
        <w:t>(2)战争、骚乱、暴动，但纯属承包人或其分包人派遣与雇用的人员由于本标段施工原因引起者除外；</w:t>
      </w:r>
    </w:p>
    <w:p w14:paraId="52400C8C">
      <w:pPr>
        <w:spacing w:line="360" w:lineRule="auto"/>
        <w:ind w:firstLine="480"/>
        <w:rPr>
          <w:rFonts w:ascii="宋体" w:hAnsi="宋体" w:cs="宋体"/>
          <w:color w:val="000000" w:themeColor="text1"/>
        </w:rPr>
      </w:pPr>
      <w:r>
        <w:rPr>
          <w:rFonts w:hint="eastAsia" w:ascii="宋体" w:hAnsi="宋体" w:cs="宋体"/>
          <w:color w:val="000000" w:themeColor="text1"/>
        </w:rPr>
        <w:t>(3)核反应、辐射或放射性污染；</w:t>
      </w:r>
    </w:p>
    <w:p w14:paraId="5317206F">
      <w:pPr>
        <w:spacing w:line="360" w:lineRule="auto"/>
        <w:ind w:firstLine="480"/>
        <w:rPr>
          <w:rFonts w:ascii="宋体" w:hAnsi="宋体" w:cs="宋体"/>
          <w:color w:val="000000" w:themeColor="text1"/>
        </w:rPr>
      </w:pPr>
      <w:r>
        <w:rPr>
          <w:rFonts w:hint="eastAsia" w:ascii="宋体" w:hAnsi="宋体" w:cs="宋体"/>
          <w:color w:val="000000" w:themeColor="text1"/>
        </w:rPr>
        <w:t>(4)空中飞行物体坠落或非发包人或承包人责任造成的爆炸、火灾；</w:t>
      </w:r>
    </w:p>
    <w:p w14:paraId="30736006">
      <w:pPr>
        <w:spacing w:line="360" w:lineRule="auto"/>
        <w:ind w:firstLine="480"/>
        <w:rPr>
          <w:rFonts w:ascii="宋体" w:hAnsi="宋体" w:cs="宋体"/>
          <w:color w:val="000000" w:themeColor="text1"/>
        </w:rPr>
      </w:pPr>
      <w:r>
        <w:rPr>
          <w:rFonts w:hint="eastAsia" w:ascii="宋体" w:hAnsi="宋体" w:cs="宋体"/>
          <w:color w:val="000000" w:themeColor="text1"/>
        </w:rPr>
        <w:t>(5)瘟疫。”</w:t>
      </w:r>
    </w:p>
    <w:p w14:paraId="6CEC23B9">
      <w:pPr>
        <w:pStyle w:val="7"/>
        <w:tabs>
          <w:tab w:val="clear" w:pos="1440"/>
        </w:tabs>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21.3.1不可抗力后果及其处理</w:t>
      </w:r>
    </w:p>
    <w:p w14:paraId="27C8A1C9">
      <w:pPr>
        <w:spacing w:line="360" w:lineRule="auto"/>
        <w:ind w:firstLine="480"/>
        <w:rPr>
          <w:rFonts w:ascii="宋体" w:hAnsi="宋体" w:cs="宋体"/>
          <w:color w:val="000000" w:themeColor="text1"/>
        </w:rPr>
      </w:pPr>
      <w:r>
        <w:rPr>
          <w:rFonts w:hint="eastAsia" w:ascii="宋体" w:hAnsi="宋体" w:cs="宋体"/>
          <w:color w:val="000000" w:themeColor="text1"/>
        </w:rPr>
        <w:t>21.3.1 不可抗力造成损害的责任</w:t>
      </w:r>
    </w:p>
    <w:p w14:paraId="679FEA9C">
      <w:pPr>
        <w:spacing w:line="360" w:lineRule="auto"/>
        <w:ind w:firstLine="480"/>
        <w:rPr>
          <w:rFonts w:ascii="宋体" w:hAnsi="宋体" w:cs="宋体"/>
          <w:color w:val="000000" w:themeColor="text1"/>
        </w:rPr>
      </w:pPr>
      <w:r>
        <w:rPr>
          <w:rFonts w:hint="eastAsia" w:ascii="宋体" w:hAnsi="宋体" w:cs="宋体"/>
          <w:color w:val="000000" w:themeColor="text1"/>
        </w:rPr>
        <w:t>通用条款第一句内容修改为：</w:t>
      </w:r>
    </w:p>
    <w:p w14:paraId="5B3D20AC">
      <w:pPr>
        <w:spacing w:line="360" w:lineRule="auto"/>
        <w:ind w:firstLine="480"/>
        <w:rPr>
          <w:rFonts w:ascii="宋体" w:hAnsi="宋体" w:cs="宋体"/>
          <w:color w:val="000000" w:themeColor="text1"/>
        </w:rPr>
      </w:pPr>
      <w:r>
        <w:rPr>
          <w:rFonts w:hint="eastAsia" w:ascii="宋体" w:hAnsi="宋体" w:cs="宋体"/>
          <w:color w:val="000000" w:themeColor="text1"/>
        </w:rPr>
        <w:t>“由于任何一种已投保的风险造成的损失或损害，承包人应在事故发生后根据保险方案的时限报告监理人和保险公司并向保险公司提出索赔。</w:t>
      </w:r>
    </w:p>
    <w:p w14:paraId="2BA4F8CC">
      <w:pPr>
        <w:spacing w:line="360" w:lineRule="auto"/>
        <w:ind w:firstLine="480"/>
        <w:rPr>
          <w:rFonts w:ascii="宋体" w:hAnsi="宋体" w:cs="宋体"/>
          <w:color w:val="000000" w:themeColor="text1"/>
        </w:rPr>
      </w:pPr>
      <w:r>
        <w:rPr>
          <w:rFonts w:hint="eastAsia" w:ascii="宋体" w:hAnsi="宋体" w:cs="宋体"/>
          <w:color w:val="000000" w:themeColor="text1"/>
        </w:rPr>
        <w:t>任何一种无法投保的风险造成的损失或损害，承包人应在监理人要求的范围内弥补损失或损害。同时，监理人应按照第23条规定在与承包人协商并报发包人批准后，确定合同价格的增加额，通知承包人，并抄送发包人。”</w:t>
      </w:r>
    </w:p>
    <w:p w14:paraId="1AAFFA3A">
      <w:pPr>
        <w:spacing w:line="360" w:lineRule="auto"/>
        <w:ind w:firstLine="480"/>
        <w:rPr>
          <w:rFonts w:ascii="宋体" w:hAnsi="宋体" w:cs="宋体"/>
          <w:color w:val="000000" w:themeColor="text1"/>
        </w:rPr>
      </w:pPr>
      <w:r>
        <w:rPr>
          <w:rFonts w:hint="eastAsia" w:ascii="宋体" w:hAnsi="宋体" w:cs="宋体"/>
          <w:color w:val="000000" w:themeColor="text1"/>
        </w:rPr>
        <w:t>21.3.4 因不可抗力解除合同</w:t>
      </w:r>
    </w:p>
    <w:p w14:paraId="5FDC4D12">
      <w:pPr>
        <w:spacing w:line="360" w:lineRule="auto"/>
        <w:ind w:firstLine="480"/>
        <w:rPr>
          <w:rFonts w:ascii="宋体" w:hAnsi="宋体" w:cs="宋体"/>
          <w:color w:val="000000" w:themeColor="text1"/>
        </w:rPr>
      </w:pPr>
      <w:r>
        <w:rPr>
          <w:rFonts w:hint="eastAsia" w:ascii="宋体" w:hAnsi="宋体" w:cs="宋体"/>
          <w:color w:val="000000" w:themeColor="text1"/>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但由于解除合同应赔偿的承包人损失不予考虑。</w:t>
      </w:r>
    </w:p>
    <w:p w14:paraId="6318F529">
      <w:pPr>
        <w:pStyle w:val="7"/>
        <w:tabs>
          <w:tab w:val="clear" w:pos="1440"/>
        </w:tabs>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22.1  承包人违约</w:t>
      </w:r>
    </w:p>
    <w:p w14:paraId="035930DD">
      <w:pPr>
        <w:spacing w:line="360" w:lineRule="auto"/>
        <w:ind w:firstLine="482"/>
        <w:rPr>
          <w:rFonts w:ascii="宋体" w:hAnsi="宋体" w:cs="宋体"/>
          <w:b/>
          <w:color w:val="000000" w:themeColor="text1"/>
        </w:rPr>
      </w:pPr>
      <w:r>
        <w:rPr>
          <w:rFonts w:hint="eastAsia" w:ascii="宋体" w:hAnsi="宋体" w:cs="宋体"/>
          <w:b/>
          <w:color w:val="000000" w:themeColor="text1"/>
        </w:rPr>
        <w:t>22.1.1 承包人违约的情形</w:t>
      </w:r>
    </w:p>
    <w:p w14:paraId="4DEB9B46">
      <w:pPr>
        <w:spacing w:line="360" w:lineRule="auto"/>
        <w:ind w:firstLine="480"/>
        <w:rPr>
          <w:rFonts w:ascii="宋体" w:hAnsi="宋体" w:cs="宋体"/>
          <w:color w:val="000000" w:themeColor="text1"/>
        </w:rPr>
      </w:pPr>
      <w:r>
        <w:rPr>
          <w:rFonts w:hint="eastAsia" w:ascii="宋体" w:hAnsi="宋体" w:cs="宋体"/>
          <w:color w:val="000000" w:themeColor="text1"/>
        </w:rPr>
        <w:t>22.1.2 对承包人违约的处理</w:t>
      </w:r>
    </w:p>
    <w:p w14:paraId="56EAF3BC">
      <w:pPr>
        <w:spacing w:line="360" w:lineRule="auto"/>
        <w:ind w:firstLine="480"/>
        <w:rPr>
          <w:rFonts w:ascii="宋体" w:hAnsi="宋体" w:cs="宋体"/>
          <w:color w:val="000000" w:themeColor="text1"/>
        </w:rPr>
      </w:pPr>
      <w:r>
        <w:rPr>
          <w:rFonts w:hint="eastAsia" w:ascii="宋体" w:hAnsi="宋体" w:cs="宋体"/>
          <w:color w:val="000000" w:themeColor="text1"/>
        </w:rPr>
        <w:t>通用条款本款末增加：</w:t>
      </w:r>
    </w:p>
    <w:p w14:paraId="0E2194A9">
      <w:pPr>
        <w:spacing w:line="360" w:lineRule="auto"/>
        <w:ind w:firstLine="480"/>
        <w:rPr>
          <w:rFonts w:ascii="宋体" w:hAnsi="宋体" w:cs="宋体"/>
          <w:color w:val="000000" w:themeColor="text1"/>
        </w:rPr>
      </w:pPr>
      <w:r>
        <w:rPr>
          <w:rFonts w:hint="eastAsia" w:ascii="宋体" w:hAnsi="宋体" w:cs="宋体"/>
          <w:color w:val="000000" w:themeColor="text1"/>
        </w:rPr>
        <w:t>“如果承包人发生下列违约情况，发包人将按从工程期中支付证书或履约保函或质量保证金中课以承包人违约金：</w:t>
      </w:r>
    </w:p>
    <w:p w14:paraId="3CF032CA">
      <w:pPr>
        <w:spacing w:line="360" w:lineRule="auto"/>
        <w:ind w:firstLine="480"/>
        <w:rPr>
          <w:rFonts w:ascii="宋体" w:hAnsi="宋体" w:cs="宋体"/>
          <w:color w:val="000000" w:themeColor="text1"/>
        </w:rPr>
      </w:pPr>
      <w:r>
        <w:rPr>
          <w:rFonts w:hint="eastAsia" w:ascii="宋体" w:hAnsi="宋体" w:cs="宋体"/>
          <w:color w:val="000000" w:themeColor="text1"/>
        </w:rPr>
        <w:t>（a）承包人在签署了合同协议书之日后，投标函附表所列的工地人员必须在监理人指定的日期进场，以保证项目管理机构的有效运转。对未经监理人同意，没有按时进场或未经批准离开工地的项目经理、安全工程师（员），发包人将按500元/人·天课以违约金；对未按时进场或未经批准离开工地的工地其他主要人员，发包人将按200元/人·天课以违约金，直至缺员进场为止。</w:t>
      </w:r>
    </w:p>
    <w:p w14:paraId="21FF2348">
      <w:pPr>
        <w:spacing w:line="360" w:lineRule="auto"/>
        <w:ind w:firstLine="480"/>
        <w:rPr>
          <w:rFonts w:ascii="宋体" w:hAnsi="宋体" w:cs="宋体"/>
          <w:color w:val="000000" w:themeColor="text1"/>
        </w:rPr>
      </w:pPr>
      <w:r>
        <w:rPr>
          <w:rFonts w:hint="eastAsia" w:ascii="宋体" w:hAnsi="宋体" w:cs="宋体"/>
          <w:color w:val="000000" w:themeColor="text1"/>
        </w:rPr>
        <w:t>（b）承包人在签署了合同协议书之日后，必须保证投标函附表所列的主要施工机械设备和材料检验、质检仪器设备在监理人指定的日期到场，以保证工程顺利开工。若“表8 拟投入本标段的主要施工、检测机械表”中所列设备不能按时进场，发包人将按500元/台·天课以违约金，直到设备进场为止。如果主要施工机械进场后长期不能使用，发包人有权要求承包人及时修复或更换该机械设备，直至发包人满意为止，并处200元/台·天课以违约金。</w:t>
      </w:r>
    </w:p>
    <w:p w14:paraId="2E2C0AD2">
      <w:pPr>
        <w:spacing w:line="360" w:lineRule="auto"/>
        <w:ind w:firstLine="480"/>
        <w:rPr>
          <w:rFonts w:ascii="宋体" w:hAnsi="宋体" w:cs="宋体"/>
          <w:color w:val="000000" w:themeColor="text1"/>
        </w:rPr>
      </w:pPr>
      <w:r>
        <w:rPr>
          <w:rFonts w:hint="eastAsia" w:ascii="宋体" w:hAnsi="宋体" w:cs="宋体"/>
          <w:color w:val="000000" w:themeColor="text1"/>
        </w:rPr>
        <w:t>（c）在工程实施期间，未经监理人和发包人批准，承包人进场的施工机械和材料试验、质检仪器设备不得撤离现场。否则，发包人将按该设备的重置价值从工程期中支付款中课以违约金。</w:t>
      </w:r>
    </w:p>
    <w:p w14:paraId="24E62FB4">
      <w:pPr>
        <w:spacing w:line="360" w:lineRule="auto"/>
        <w:ind w:firstLine="480"/>
        <w:rPr>
          <w:rFonts w:ascii="宋体" w:hAnsi="宋体" w:cs="宋体"/>
          <w:color w:val="000000" w:themeColor="text1"/>
        </w:rPr>
      </w:pPr>
      <w:r>
        <w:rPr>
          <w:rFonts w:hint="eastAsia" w:ascii="宋体" w:hAnsi="宋体" w:cs="宋体"/>
          <w:color w:val="000000" w:themeColor="text1"/>
        </w:rPr>
        <w:t>（d）在施工期间，承包人若违反施工操作及管理程序，则按500元/次标准课以承包人的违约金；若造成人员伤亡事故，发包人将以3万元/死亡1人，1万元/受伤1人，课以承包人的违约金，因事故调查分析而产生的工期延误和费用增加由承包人承担。</w:t>
      </w:r>
    </w:p>
    <w:p w14:paraId="4ABECCEF">
      <w:pPr>
        <w:spacing w:line="360" w:lineRule="auto"/>
        <w:ind w:firstLine="480"/>
        <w:rPr>
          <w:rFonts w:ascii="宋体" w:hAnsi="宋体" w:cs="宋体"/>
          <w:color w:val="000000" w:themeColor="text1"/>
        </w:rPr>
      </w:pPr>
      <w:r>
        <w:rPr>
          <w:rFonts w:hint="eastAsia" w:ascii="宋体" w:hAnsi="宋体" w:cs="宋体"/>
          <w:color w:val="000000" w:themeColor="text1"/>
        </w:rPr>
        <w:t>（e）在工程实施期间，未经监理人批准，承包人的施工人员缺员30%以上，在监理人发出3次书面警告14天后，发包人将根据合同条款的有关规定终止合同。</w:t>
      </w:r>
    </w:p>
    <w:p w14:paraId="6972233C">
      <w:pPr>
        <w:spacing w:line="360" w:lineRule="auto"/>
        <w:ind w:firstLine="480"/>
        <w:rPr>
          <w:rFonts w:ascii="宋体" w:hAnsi="宋体" w:cs="宋体"/>
          <w:color w:val="000000" w:themeColor="text1"/>
        </w:rPr>
      </w:pPr>
      <w:r>
        <w:rPr>
          <w:rFonts w:hint="eastAsia" w:ascii="宋体" w:hAnsi="宋体" w:cs="宋体"/>
          <w:color w:val="000000" w:themeColor="text1"/>
        </w:rPr>
        <w:t>（f）承包人在施工期间如果在各种报表及检查试验记录中自己作假或诱导监理人作假，一经查实，发包人将按5000元/次课以承包人的违约金。由于假报表、假试验记录引起的工程损失费用，由承包人承担。</w:t>
      </w:r>
    </w:p>
    <w:p w14:paraId="4C63EE86">
      <w:pPr>
        <w:spacing w:line="360" w:lineRule="auto"/>
        <w:ind w:firstLine="480"/>
        <w:rPr>
          <w:rFonts w:ascii="宋体" w:hAnsi="宋体" w:cs="宋体"/>
          <w:color w:val="000000" w:themeColor="text1"/>
        </w:rPr>
      </w:pPr>
      <w:r>
        <w:rPr>
          <w:rFonts w:hint="eastAsia" w:ascii="宋体" w:hAnsi="宋体" w:cs="宋体"/>
          <w:color w:val="000000" w:themeColor="text1"/>
        </w:rPr>
        <w:t>（g）承包人违反环境保护的规定，向水域排放废油或其他生产生活废弃物，按5000元/次课以承包人的违约金，并应承担其他相关部门的罚款。</w:t>
      </w:r>
    </w:p>
    <w:p w14:paraId="487E10D5">
      <w:pPr>
        <w:spacing w:line="360" w:lineRule="auto"/>
        <w:ind w:firstLine="480"/>
        <w:rPr>
          <w:rFonts w:ascii="宋体" w:hAnsi="宋体" w:cs="宋体"/>
          <w:color w:val="000000" w:themeColor="text1"/>
        </w:rPr>
      </w:pPr>
      <w:r>
        <w:rPr>
          <w:rFonts w:hint="eastAsia" w:ascii="宋体" w:hAnsi="宋体" w:cs="宋体"/>
          <w:color w:val="000000" w:themeColor="text1"/>
        </w:rPr>
        <w:t>（h）发现一处安全隐患、安全违规行为等行为，发包人将按100元/次课以违约金。</w:t>
      </w:r>
    </w:p>
    <w:p w14:paraId="11D8FB02">
      <w:pPr>
        <w:spacing w:line="360" w:lineRule="auto"/>
        <w:ind w:firstLine="480"/>
        <w:rPr>
          <w:rFonts w:ascii="宋体" w:hAnsi="宋体" w:cs="宋体"/>
          <w:color w:val="000000" w:themeColor="text1"/>
        </w:rPr>
      </w:pPr>
      <w:r>
        <w:rPr>
          <w:rFonts w:hint="eastAsia" w:ascii="宋体" w:hAnsi="宋体" w:cs="宋体"/>
          <w:color w:val="000000" w:themeColor="text1"/>
        </w:rPr>
        <w:t>发包人可视承包人违约的严重程度采取下列措施之一：</w:t>
      </w:r>
    </w:p>
    <w:p w14:paraId="3E8FC27D">
      <w:pPr>
        <w:spacing w:line="360" w:lineRule="auto"/>
        <w:ind w:firstLine="480"/>
        <w:rPr>
          <w:rFonts w:ascii="宋体" w:hAnsi="宋体" w:cs="宋体"/>
          <w:color w:val="000000" w:themeColor="text1"/>
        </w:rPr>
      </w:pPr>
      <w:r>
        <w:rPr>
          <w:rFonts w:hint="eastAsia" w:ascii="宋体" w:hAnsi="宋体" w:cs="宋体"/>
          <w:color w:val="000000" w:themeColor="text1"/>
        </w:rPr>
        <w:t>（1）即使交纳了违约金，承包人仍应按合同规定继续实施和完成本合同工程及其缺陷修复；或</w:t>
      </w:r>
    </w:p>
    <w:p w14:paraId="0B891990">
      <w:pPr>
        <w:spacing w:line="360" w:lineRule="auto"/>
        <w:ind w:firstLine="480"/>
        <w:rPr>
          <w:rFonts w:ascii="宋体" w:hAnsi="宋体" w:cs="宋体"/>
          <w:color w:val="000000" w:themeColor="text1"/>
        </w:rPr>
      </w:pPr>
      <w:r>
        <w:rPr>
          <w:rFonts w:hint="eastAsia" w:ascii="宋体" w:hAnsi="宋体" w:cs="宋体"/>
          <w:color w:val="000000" w:themeColor="text1"/>
        </w:rPr>
        <w:t>（2）发包人可雇用其他承包人完成部分工程。承包人无权对此提出反对意见并应按合同规定完成合同工程其它部分的施工和缺陷修复。在这种情况下，发包人向承包人支付的合同价格中不应包括由其他承包人完成的那部分工程的价格。监理人应与承包人和发包人协商后确定由于承包人违约而给发包人造成的费用增加和其他损失，并由发包人从应付或到期应付给承包人的款项中扣除，监理人应将上述决定通知承包人，并抄送发包人。</w:t>
      </w:r>
    </w:p>
    <w:p w14:paraId="4D5A734B">
      <w:pPr>
        <w:spacing w:line="360" w:lineRule="auto"/>
        <w:ind w:firstLine="480"/>
        <w:rPr>
          <w:rFonts w:ascii="宋体" w:hAnsi="宋体" w:cs="宋体"/>
          <w:color w:val="000000" w:themeColor="text1"/>
        </w:rPr>
      </w:pPr>
      <w:r>
        <w:rPr>
          <w:rFonts w:hint="eastAsia" w:ascii="宋体" w:hAnsi="宋体" w:cs="宋体"/>
          <w:color w:val="000000" w:themeColor="text1"/>
        </w:rPr>
        <w:t>（3）发包人在向承包人发出书面通知的14天之后可以进驻现场和接管工程，终止承包人对本合同工程的承包，但不因此解除合同规定的承包人的任何义务和责任，或影响合同赋予发包人或监理人的各种权利和权限。发包人可自行完成该工程，或邀请其他承包人完成该工程。发包人或其他承包人为了完成本工程可以使用任何承包人设备、临时工程和材料。合同终止后的有关事宜应按照第17和18款的规定办理。”</w:t>
      </w:r>
    </w:p>
    <w:p w14:paraId="2573F77C">
      <w:pPr>
        <w:spacing w:line="360" w:lineRule="auto"/>
        <w:ind w:firstLine="480"/>
        <w:rPr>
          <w:rFonts w:ascii="宋体" w:hAnsi="宋体" w:cs="宋体"/>
          <w:color w:val="000000" w:themeColor="text1"/>
        </w:rPr>
      </w:pPr>
      <w:r>
        <w:rPr>
          <w:rFonts w:hint="eastAsia" w:ascii="宋体" w:hAnsi="宋体" w:cs="宋体"/>
          <w:color w:val="000000" w:themeColor="text1"/>
        </w:rPr>
        <w:t>补充25款为：</w:t>
      </w:r>
    </w:p>
    <w:p w14:paraId="7B1462C3">
      <w:pPr>
        <w:pStyle w:val="7"/>
        <w:tabs>
          <w:tab w:val="clear" w:pos="1440"/>
        </w:tabs>
        <w:spacing w:before="0" w:after="0" w:line="360" w:lineRule="auto"/>
        <w:ind w:left="1008" w:hanging="1008" w:hangingChars="478"/>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25其他管理规定</w:t>
      </w:r>
    </w:p>
    <w:p w14:paraId="698874A1">
      <w:pPr>
        <w:spacing w:line="360" w:lineRule="auto"/>
        <w:ind w:firstLine="480"/>
        <w:rPr>
          <w:rFonts w:ascii="宋体" w:hAnsi="宋体" w:cs="宋体"/>
          <w:color w:val="000000" w:themeColor="text1"/>
        </w:rPr>
      </w:pPr>
      <w:r>
        <w:rPr>
          <w:rFonts w:hint="eastAsia" w:ascii="宋体" w:hAnsi="宋体" w:cs="宋体"/>
          <w:color w:val="000000" w:themeColor="text1"/>
        </w:rPr>
        <w:t>本合同工程严格执行国家、部、省、厅关于工程建设管理的各项规定。这些规定包括但不限于下列文件：</w:t>
      </w:r>
    </w:p>
    <w:p w14:paraId="2BE04A70">
      <w:pPr>
        <w:spacing w:line="360" w:lineRule="auto"/>
        <w:ind w:firstLine="480"/>
        <w:rPr>
          <w:rFonts w:ascii="宋体" w:hAnsi="宋体" w:cs="宋体"/>
          <w:color w:val="000000" w:themeColor="text1"/>
        </w:rPr>
      </w:pPr>
      <w:r>
        <w:rPr>
          <w:rFonts w:hint="eastAsia" w:ascii="宋体" w:hAnsi="宋体" w:cs="宋体"/>
          <w:color w:val="000000" w:themeColor="text1"/>
        </w:rPr>
        <w:t>（1）《省交通运输厅关于招标文件贯彻落实扬尘污染防治有关法律法规规定的指导意见》（苏交建〔2018〕17 号）</w:t>
      </w:r>
    </w:p>
    <w:p w14:paraId="26EAEF92">
      <w:pPr>
        <w:spacing w:line="360" w:lineRule="auto"/>
        <w:ind w:firstLine="480"/>
        <w:rPr>
          <w:rFonts w:ascii="宋体" w:hAnsi="宋体" w:cs="宋体"/>
          <w:color w:val="000000" w:themeColor="text1"/>
        </w:rPr>
      </w:pPr>
      <w:r>
        <w:rPr>
          <w:rFonts w:hint="eastAsia" w:ascii="宋体" w:hAnsi="宋体" w:cs="宋体"/>
          <w:color w:val="000000" w:themeColor="text1"/>
        </w:rPr>
        <w:t>（2）《江苏省公路工程施工分包管理实施细则》（苏交规〔2015〕2号文印发）</w:t>
      </w:r>
    </w:p>
    <w:p w14:paraId="5E34DE8A">
      <w:pPr>
        <w:spacing w:line="360" w:lineRule="auto"/>
        <w:ind w:firstLine="480"/>
        <w:rPr>
          <w:rFonts w:ascii="宋体" w:hAnsi="宋体" w:cs="宋体"/>
          <w:color w:val="000000" w:themeColor="text1"/>
        </w:rPr>
      </w:pPr>
      <w:r>
        <w:rPr>
          <w:rFonts w:hint="eastAsia" w:ascii="宋体" w:hAnsi="宋体" w:cs="宋体"/>
          <w:color w:val="000000" w:themeColor="text1"/>
        </w:rPr>
        <w:t>（3）《江苏省公路水运工程安全生产费用管理办法》（苏交规〔2012〕9号文印发）</w:t>
      </w:r>
    </w:p>
    <w:p w14:paraId="06470B76">
      <w:pPr>
        <w:ind w:firstLine="420" w:firstLineChars="200"/>
        <w:rPr>
          <w:rFonts w:cs="宋体"/>
          <w:color w:val="000000" w:themeColor="text1"/>
        </w:rPr>
        <w:sectPr>
          <w:pgSz w:w="11906" w:h="16838"/>
          <w:pgMar w:top="1389" w:right="1474" w:bottom="1389" w:left="1644" w:header="851" w:footer="992" w:gutter="0"/>
          <w:cols w:space="720" w:num="1"/>
        </w:sectPr>
      </w:pPr>
    </w:p>
    <w:p w14:paraId="0C7A64EF">
      <w:pPr>
        <w:pStyle w:val="2"/>
        <w:spacing w:before="120" w:beforeLines="50" w:after="120" w:afterLines="50" w:line="240" w:lineRule="auto"/>
        <w:jc w:val="center"/>
        <w:rPr>
          <w:rFonts w:cs="黑体"/>
          <w:b w:val="0"/>
          <w:bCs w:val="0"/>
          <w:color w:val="000000" w:themeColor="text1"/>
        </w:rPr>
      </w:pPr>
      <w:bookmarkStart w:id="377" w:name="_Toc23113"/>
      <w:bookmarkStart w:id="378" w:name="_Toc4529"/>
    </w:p>
    <w:p w14:paraId="77117E1B">
      <w:pPr>
        <w:pStyle w:val="2"/>
        <w:spacing w:before="120" w:beforeLines="50" w:after="120" w:afterLines="50" w:line="240" w:lineRule="auto"/>
        <w:jc w:val="center"/>
        <w:rPr>
          <w:rFonts w:cs="黑体"/>
          <w:b w:val="0"/>
          <w:bCs w:val="0"/>
          <w:color w:val="000000" w:themeColor="text1"/>
        </w:rPr>
      </w:pPr>
    </w:p>
    <w:p w14:paraId="18B2C2D8">
      <w:pPr>
        <w:pStyle w:val="2"/>
        <w:spacing w:before="120" w:beforeLines="50" w:after="120" w:afterLines="50" w:line="240" w:lineRule="auto"/>
        <w:jc w:val="center"/>
        <w:rPr>
          <w:rFonts w:cs="黑体"/>
          <w:b w:val="0"/>
          <w:bCs w:val="0"/>
          <w:color w:val="000000" w:themeColor="text1"/>
        </w:rPr>
      </w:pPr>
    </w:p>
    <w:p w14:paraId="735B7ED1">
      <w:pPr>
        <w:pStyle w:val="2"/>
        <w:spacing w:before="120" w:beforeLines="50" w:after="120" w:afterLines="50" w:line="240" w:lineRule="auto"/>
        <w:jc w:val="center"/>
        <w:rPr>
          <w:rFonts w:cs="黑体"/>
          <w:b w:val="0"/>
          <w:bCs w:val="0"/>
          <w:color w:val="000000" w:themeColor="text1"/>
        </w:rPr>
      </w:pPr>
    </w:p>
    <w:p w14:paraId="09A80C31">
      <w:pPr>
        <w:pStyle w:val="2"/>
        <w:spacing w:before="120" w:beforeLines="50" w:after="120" w:afterLines="50" w:line="240" w:lineRule="auto"/>
        <w:jc w:val="center"/>
        <w:rPr>
          <w:rFonts w:cs="黑体"/>
          <w:b w:val="0"/>
          <w:bCs w:val="0"/>
          <w:color w:val="000000" w:themeColor="text1"/>
        </w:rPr>
      </w:pPr>
    </w:p>
    <w:p w14:paraId="08EF2AE4">
      <w:pPr>
        <w:pStyle w:val="2"/>
        <w:spacing w:before="120" w:beforeLines="50" w:after="120" w:afterLines="50" w:line="240" w:lineRule="auto"/>
        <w:jc w:val="center"/>
        <w:rPr>
          <w:rFonts w:cs="黑体"/>
          <w:b w:val="0"/>
          <w:bCs w:val="0"/>
          <w:color w:val="000000" w:themeColor="text1"/>
        </w:rPr>
      </w:pPr>
    </w:p>
    <w:p w14:paraId="3F8DF91B">
      <w:pPr>
        <w:pStyle w:val="2"/>
        <w:spacing w:before="120" w:beforeLines="50" w:after="120" w:afterLines="50" w:line="240" w:lineRule="auto"/>
        <w:jc w:val="center"/>
        <w:rPr>
          <w:rFonts w:cs="黑体"/>
          <w:b w:val="0"/>
          <w:bCs w:val="0"/>
          <w:color w:val="000000" w:themeColor="text1"/>
        </w:rPr>
      </w:pPr>
    </w:p>
    <w:p w14:paraId="6F962FF7">
      <w:pPr>
        <w:pStyle w:val="2"/>
        <w:spacing w:before="120" w:beforeLines="50" w:after="120" w:afterLines="50" w:line="240" w:lineRule="auto"/>
        <w:jc w:val="center"/>
        <w:rPr>
          <w:rFonts w:cs="黑体"/>
          <w:b w:val="0"/>
          <w:bCs w:val="0"/>
          <w:color w:val="000000" w:themeColor="text1"/>
        </w:rPr>
      </w:pPr>
    </w:p>
    <w:p w14:paraId="52BB7106">
      <w:pPr>
        <w:pStyle w:val="2"/>
        <w:spacing w:before="120" w:beforeLines="50" w:after="120" w:afterLines="50" w:line="240" w:lineRule="auto"/>
        <w:jc w:val="center"/>
        <w:rPr>
          <w:rFonts w:cs="黑体"/>
          <w:b w:val="0"/>
          <w:bCs w:val="0"/>
          <w:color w:val="000000" w:themeColor="text1"/>
        </w:rPr>
      </w:pPr>
    </w:p>
    <w:p w14:paraId="7AA3EDE9">
      <w:pPr>
        <w:pStyle w:val="2"/>
        <w:spacing w:before="120" w:beforeLines="50" w:after="120" w:afterLines="50" w:line="240" w:lineRule="auto"/>
        <w:jc w:val="center"/>
        <w:rPr>
          <w:rFonts w:cs="黑体"/>
          <w:b w:val="0"/>
          <w:bCs w:val="0"/>
          <w:color w:val="000000" w:themeColor="text1"/>
        </w:rPr>
      </w:pPr>
    </w:p>
    <w:p w14:paraId="24FB9E42">
      <w:pPr>
        <w:pStyle w:val="2"/>
        <w:spacing w:before="120" w:beforeLines="50" w:after="120" w:afterLines="50" w:line="240" w:lineRule="auto"/>
        <w:jc w:val="center"/>
        <w:rPr>
          <w:rFonts w:cs="黑体"/>
          <w:b w:val="0"/>
          <w:bCs w:val="0"/>
          <w:color w:val="000000" w:themeColor="text1"/>
        </w:rPr>
      </w:pPr>
    </w:p>
    <w:p w14:paraId="36F0217F">
      <w:pPr>
        <w:pStyle w:val="2"/>
        <w:spacing w:before="120" w:beforeLines="50" w:after="120" w:afterLines="50" w:line="240" w:lineRule="auto"/>
        <w:jc w:val="center"/>
        <w:rPr>
          <w:b w:val="0"/>
          <w:bCs w:val="0"/>
          <w:color w:val="000000" w:themeColor="text1"/>
        </w:rPr>
      </w:pPr>
      <w:r>
        <w:rPr>
          <w:rFonts w:hint="eastAsia" w:cs="黑体"/>
          <w:b w:val="0"/>
          <w:bCs w:val="0"/>
          <w:color w:val="000000" w:themeColor="text1"/>
        </w:rPr>
        <w:t>第三节合同附件格式</w:t>
      </w:r>
      <w:bookmarkEnd w:id="377"/>
      <w:bookmarkEnd w:id="378"/>
    </w:p>
    <w:p w14:paraId="3CB546DB">
      <w:pPr>
        <w:rPr>
          <w:color w:val="000000" w:themeColor="text1"/>
          <w:sz w:val="24"/>
          <w:szCs w:val="24"/>
        </w:rPr>
      </w:pPr>
    </w:p>
    <w:p w14:paraId="592D0F3E">
      <w:pPr>
        <w:rPr>
          <w:b/>
          <w:bCs/>
          <w:color w:val="000000" w:themeColor="text1"/>
          <w:szCs w:val="24"/>
        </w:rPr>
      </w:pPr>
      <w:r>
        <w:rPr>
          <w:b/>
          <w:bCs/>
          <w:color w:val="000000" w:themeColor="text1"/>
          <w:sz w:val="24"/>
          <w:szCs w:val="24"/>
        </w:rPr>
        <w:br w:type="page"/>
      </w:r>
      <w:r>
        <w:rPr>
          <w:b/>
          <w:bCs/>
          <w:color w:val="000000" w:themeColor="text1"/>
          <w:szCs w:val="24"/>
        </w:rPr>
        <w:t>附件一：合同协议书</w:t>
      </w:r>
    </w:p>
    <w:p w14:paraId="7193DF80">
      <w:pPr>
        <w:ind w:firstLine="482"/>
        <w:rPr>
          <w:b/>
          <w:bCs/>
          <w:color w:val="000000" w:themeColor="text1"/>
          <w:szCs w:val="24"/>
        </w:rPr>
      </w:pPr>
    </w:p>
    <w:p w14:paraId="3056D219">
      <w:pPr>
        <w:spacing w:line="440" w:lineRule="exact"/>
        <w:ind w:firstLine="560"/>
        <w:jc w:val="center"/>
        <w:rPr>
          <w:color w:val="000000" w:themeColor="text1"/>
          <w:sz w:val="28"/>
          <w:szCs w:val="28"/>
        </w:rPr>
      </w:pPr>
      <w:r>
        <w:rPr>
          <w:color w:val="000000" w:themeColor="text1"/>
          <w:sz w:val="28"/>
          <w:szCs w:val="28"/>
        </w:rPr>
        <w:t>合同协议书</w:t>
      </w:r>
    </w:p>
    <w:p w14:paraId="7F6B48C4">
      <w:pPr>
        <w:spacing w:line="440" w:lineRule="exact"/>
        <w:ind w:firstLine="480"/>
        <w:rPr>
          <w:color w:val="000000" w:themeColor="text1"/>
        </w:rPr>
      </w:pPr>
    </w:p>
    <w:p w14:paraId="67EA61A5">
      <w:pPr>
        <w:autoSpaceDE w:val="0"/>
        <w:autoSpaceDN w:val="0"/>
        <w:adjustRightInd w:val="0"/>
        <w:snapToGrid w:val="0"/>
        <w:spacing w:line="360" w:lineRule="auto"/>
        <w:ind w:firstLine="420" w:firstLineChars="200"/>
        <w:jc w:val="left"/>
        <w:rPr>
          <w:color w:val="000000" w:themeColor="text1"/>
          <w:kern w:val="0"/>
        </w:rPr>
      </w:pPr>
      <w:r>
        <w:rPr>
          <w:rFonts w:hint="eastAsia"/>
          <w:color w:val="000000" w:themeColor="text1"/>
          <w:kern w:val="0"/>
          <w:u w:val="single"/>
        </w:rPr>
        <w:t>南通市港航事业发展中心</w:t>
      </w:r>
      <w:r>
        <w:rPr>
          <w:rFonts w:hint="eastAsia"/>
          <w:color w:val="000000" w:themeColor="text1"/>
          <w:kern w:val="0"/>
        </w:rPr>
        <w:t>（发包人名称，以下简称“发包人”）为实施项目，已接受（承包人名称，以下简称“承包人”）对该项目的投标。发包人和承包人共同达成如下协议。</w:t>
      </w:r>
    </w:p>
    <w:p w14:paraId="64B64FF8">
      <w:pPr>
        <w:adjustRightInd w:val="0"/>
        <w:snapToGrid w:val="0"/>
        <w:spacing w:line="360" w:lineRule="auto"/>
        <w:ind w:firstLine="420" w:firstLineChars="200"/>
        <w:jc w:val="left"/>
        <w:rPr>
          <w:color w:val="000000" w:themeColor="text1"/>
          <w:u w:val="single"/>
        </w:rPr>
      </w:pPr>
      <w:r>
        <w:rPr>
          <w:rFonts w:hint="eastAsia" w:cs="Microsoft JhengHei Light"/>
          <w:color w:val="000000" w:themeColor="text1"/>
        </w:rPr>
        <w:t>1. 项目概况：</w:t>
      </w:r>
    </w:p>
    <w:p w14:paraId="507DB151">
      <w:pPr>
        <w:tabs>
          <w:tab w:val="left" w:pos="2520"/>
        </w:tabs>
        <w:autoSpaceDE w:val="0"/>
        <w:autoSpaceDN w:val="0"/>
        <w:adjustRightInd w:val="0"/>
        <w:snapToGrid w:val="0"/>
        <w:spacing w:line="360" w:lineRule="auto"/>
        <w:ind w:firstLine="420" w:firstLineChars="200"/>
        <w:jc w:val="left"/>
        <w:rPr>
          <w:color w:val="000000" w:themeColor="text1"/>
          <w:kern w:val="0"/>
        </w:rPr>
      </w:pPr>
      <w:r>
        <w:rPr>
          <w:rFonts w:hint="eastAsia"/>
          <w:color w:val="000000" w:themeColor="text1"/>
          <w:kern w:val="0"/>
        </w:rPr>
        <w:t>2</w:t>
      </w:r>
      <w:r>
        <w:rPr>
          <w:color w:val="000000" w:themeColor="text1"/>
          <w:kern w:val="0"/>
        </w:rPr>
        <w:t>.本协议书与下列文件一起构成合同文件：</w:t>
      </w:r>
    </w:p>
    <w:p w14:paraId="24CDE9B2">
      <w:pPr>
        <w:autoSpaceDE w:val="0"/>
        <w:autoSpaceDN w:val="0"/>
        <w:adjustRightInd w:val="0"/>
        <w:snapToGrid w:val="0"/>
        <w:spacing w:line="360" w:lineRule="auto"/>
        <w:ind w:firstLine="420" w:firstLineChars="200"/>
        <w:jc w:val="left"/>
        <w:rPr>
          <w:color w:val="000000" w:themeColor="text1"/>
          <w:kern w:val="0"/>
        </w:rPr>
      </w:pPr>
      <w:r>
        <w:rPr>
          <w:color w:val="000000" w:themeColor="text1"/>
          <w:kern w:val="0"/>
        </w:rPr>
        <w:t>(1)合同协议书及各种合同附件(含评标期间和合同谈判过程中的澄清文件和补充资料)；</w:t>
      </w:r>
    </w:p>
    <w:p w14:paraId="229A5400">
      <w:pPr>
        <w:autoSpaceDE w:val="0"/>
        <w:autoSpaceDN w:val="0"/>
        <w:adjustRightInd w:val="0"/>
        <w:snapToGrid w:val="0"/>
        <w:spacing w:line="360" w:lineRule="auto"/>
        <w:ind w:firstLine="420" w:firstLineChars="200"/>
        <w:jc w:val="left"/>
        <w:rPr>
          <w:color w:val="000000" w:themeColor="text1"/>
          <w:kern w:val="0"/>
        </w:rPr>
      </w:pPr>
      <w:r>
        <w:rPr>
          <w:color w:val="000000" w:themeColor="text1"/>
          <w:kern w:val="0"/>
        </w:rPr>
        <w:t>(2)中标通知书；</w:t>
      </w:r>
    </w:p>
    <w:p w14:paraId="222A8A2C">
      <w:pPr>
        <w:autoSpaceDE w:val="0"/>
        <w:autoSpaceDN w:val="0"/>
        <w:adjustRightInd w:val="0"/>
        <w:snapToGrid w:val="0"/>
        <w:spacing w:line="360" w:lineRule="auto"/>
        <w:ind w:firstLine="420" w:firstLineChars="200"/>
        <w:jc w:val="left"/>
        <w:rPr>
          <w:color w:val="000000" w:themeColor="text1"/>
          <w:kern w:val="0"/>
        </w:rPr>
      </w:pPr>
      <w:r>
        <w:rPr>
          <w:color w:val="000000" w:themeColor="text1"/>
          <w:kern w:val="0"/>
        </w:rPr>
        <w:t>(3)招标补遗书；</w:t>
      </w:r>
    </w:p>
    <w:p w14:paraId="76AB3113">
      <w:pPr>
        <w:autoSpaceDE w:val="0"/>
        <w:autoSpaceDN w:val="0"/>
        <w:adjustRightInd w:val="0"/>
        <w:snapToGrid w:val="0"/>
        <w:spacing w:line="360" w:lineRule="auto"/>
        <w:ind w:firstLine="420" w:firstLineChars="200"/>
        <w:jc w:val="left"/>
        <w:rPr>
          <w:color w:val="000000" w:themeColor="text1"/>
          <w:kern w:val="0"/>
        </w:rPr>
      </w:pPr>
      <w:r>
        <w:rPr>
          <w:color w:val="000000" w:themeColor="text1"/>
          <w:kern w:val="0"/>
        </w:rPr>
        <w:t>(4)投标函及投标函附录；</w:t>
      </w:r>
    </w:p>
    <w:p w14:paraId="55EA6558">
      <w:pPr>
        <w:autoSpaceDE w:val="0"/>
        <w:autoSpaceDN w:val="0"/>
        <w:adjustRightInd w:val="0"/>
        <w:snapToGrid w:val="0"/>
        <w:spacing w:line="360" w:lineRule="auto"/>
        <w:ind w:firstLine="420" w:firstLineChars="200"/>
        <w:jc w:val="left"/>
        <w:rPr>
          <w:color w:val="000000" w:themeColor="text1"/>
          <w:kern w:val="0"/>
        </w:rPr>
      </w:pPr>
      <w:r>
        <w:rPr>
          <w:color w:val="000000" w:themeColor="text1"/>
          <w:kern w:val="0"/>
        </w:rPr>
        <w:t>(5)专用合同条款；</w:t>
      </w:r>
    </w:p>
    <w:p w14:paraId="7235F3FE">
      <w:pPr>
        <w:autoSpaceDE w:val="0"/>
        <w:autoSpaceDN w:val="0"/>
        <w:adjustRightInd w:val="0"/>
        <w:snapToGrid w:val="0"/>
        <w:spacing w:line="360" w:lineRule="auto"/>
        <w:ind w:firstLine="420" w:firstLineChars="200"/>
        <w:jc w:val="left"/>
        <w:rPr>
          <w:color w:val="000000" w:themeColor="text1"/>
          <w:kern w:val="0"/>
        </w:rPr>
      </w:pPr>
      <w:r>
        <w:rPr>
          <w:color w:val="000000" w:themeColor="text1"/>
          <w:kern w:val="0"/>
        </w:rPr>
        <w:t>(6)通用合同条款；</w:t>
      </w:r>
    </w:p>
    <w:p w14:paraId="45F8D0C3">
      <w:pPr>
        <w:autoSpaceDE w:val="0"/>
        <w:autoSpaceDN w:val="0"/>
        <w:adjustRightInd w:val="0"/>
        <w:snapToGrid w:val="0"/>
        <w:spacing w:line="360" w:lineRule="auto"/>
        <w:ind w:firstLine="420" w:firstLineChars="200"/>
        <w:jc w:val="left"/>
        <w:rPr>
          <w:color w:val="000000" w:themeColor="text1"/>
          <w:kern w:val="0"/>
        </w:rPr>
      </w:pPr>
      <w:r>
        <w:rPr>
          <w:color w:val="000000" w:themeColor="text1"/>
          <w:kern w:val="0"/>
        </w:rPr>
        <w:t>(7)招标工程量清单（含工程量计价规则）</w:t>
      </w:r>
    </w:p>
    <w:p w14:paraId="62CA4A00">
      <w:pPr>
        <w:autoSpaceDE w:val="0"/>
        <w:autoSpaceDN w:val="0"/>
        <w:adjustRightInd w:val="0"/>
        <w:snapToGrid w:val="0"/>
        <w:spacing w:line="360" w:lineRule="auto"/>
        <w:ind w:firstLine="420" w:firstLineChars="200"/>
        <w:jc w:val="left"/>
        <w:rPr>
          <w:color w:val="000000" w:themeColor="text1"/>
          <w:kern w:val="0"/>
        </w:rPr>
      </w:pPr>
      <w:r>
        <w:rPr>
          <w:color w:val="000000" w:themeColor="text1"/>
          <w:kern w:val="0"/>
        </w:rPr>
        <w:t>(8)技术标准和要求；</w:t>
      </w:r>
    </w:p>
    <w:p w14:paraId="6DB13B54">
      <w:pPr>
        <w:autoSpaceDE w:val="0"/>
        <w:autoSpaceDN w:val="0"/>
        <w:adjustRightInd w:val="0"/>
        <w:snapToGrid w:val="0"/>
        <w:spacing w:line="360" w:lineRule="auto"/>
        <w:ind w:firstLine="420" w:firstLineChars="200"/>
        <w:jc w:val="left"/>
        <w:rPr>
          <w:color w:val="000000" w:themeColor="text1"/>
          <w:kern w:val="0"/>
        </w:rPr>
      </w:pPr>
      <w:r>
        <w:rPr>
          <w:color w:val="000000" w:themeColor="text1"/>
          <w:kern w:val="0"/>
        </w:rPr>
        <w:t>(</w:t>
      </w:r>
      <w:r>
        <w:rPr>
          <w:rFonts w:hint="eastAsia"/>
          <w:color w:val="000000" w:themeColor="text1"/>
          <w:kern w:val="0"/>
        </w:rPr>
        <w:t>9</w:t>
      </w:r>
      <w:r>
        <w:rPr>
          <w:color w:val="000000" w:themeColor="text1"/>
          <w:kern w:val="0"/>
        </w:rPr>
        <w:t>)已标价工程量清单；</w:t>
      </w:r>
    </w:p>
    <w:p w14:paraId="1E93DDE6">
      <w:pPr>
        <w:autoSpaceDE w:val="0"/>
        <w:autoSpaceDN w:val="0"/>
        <w:adjustRightInd w:val="0"/>
        <w:snapToGrid w:val="0"/>
        <w:spacing w:line="360" w:lineRule="auto"/>
        <w:ind w:firstLine="420" w:firstLineChars="200"/>
        <w:jc w:val="left"/>
        <w:rPr>
          <w:color w:val="000000" w:themeColor="text1"/>
          <w:kern w:val="0"/>
        </w:rPr>
      </w:pPr>
      <w:r>
        <w:rPr>
          <w:color w:val="000000" w:themeColor="text1"/>
          <w:kern w:val="0"/>
        </w:rPr>
        <w:t>(1</w:t>
      </w:r>
      <w:r>
        <w:rPr>
          <w:rFonts w:hint="eastAsia"/>
          <w:color w:val="000000" w:themeColor="text1"/>
          <w:kern w:val="0"/>
        </w:rPr>
        <w:t>0</w:t>
      </w:r>
      <w:r>
        <w:rPr>
          <w:color w:val="000000" w:themeColor="text1"/>
          <w:kern w:val="0"/>
        </w:rPr>
        <w:t>)投标文件中有关人员、设备投入的承诺和施工组织设计；</w:t>
      </w:r>
    </w:p>
    <w:p w14:paraId="5F215377">
      <w:pPr>
        <w:autoSpaceDE w:val="0"/>
        <w:autoSpaceDN w:val="0"/>
        <w:adjustRightInd w:val="0"/>
        <w:snapToGrid w:val="0"/>
        <w:spacing w:line="360" w:lineRule="auto"/>
        <w:ind w:firstLine="420" w:firstLineChars="200"/>
        <w:jc w:val="left"/>
        <w:rPr>
          <w:color w:val="000000" w:themeColor="text1"/>
          <w:kern w:val="0"/>
        </w:rPr>
      </w:pPr>
      <w:r>
        <w:rPr>
          <w:color w:val="000000" w:themeColor="text1"/>
          <w:kern w:val="0"/>
        </w:rPr>
        <w:t>(1</w:t>
      </w:r>
      <w:r>
        <w:rPr>
          <w:rFonts w:hint="eastAsia"/>
          <w:color w:val="000000" w:themeColor="text1"/>
          <w:kern w:val="0"/>
        </w:rPr>
        <w:t>1</w:t>
      </w:r>
      <w:r>
        <w:rPr>
          <w:color w:val="000000" w:themeColor="text1"/>
          <w:kern w:val="0"/>
        </w:rPr>
        <w:t>)构成本合同组成部分的其他文件。</w:t>
      </w:r>
    </w:p>
    <w:p w14:paraId="3B4E7FD3">
      <w:pPr>
        <w:autoSpaceDE w:val="0"/>
        <w:autoSpaceDN w:val="0"/>
        <w:adjustRightInd w:val="0"/>
        <w:snapToGrid w:val="0"/>
        <w:spacing w:line="360" w:lineRule="auto"/>
        <w:ind w:firstLine="420" w:firstLineChars="200"/>
        <w:jc w:val="left"/>
        <w:rPr>
          <w:color w:val="000000" w:themeColor="text1"/>
          <w:kern w:val="0"/>
        </w:rPr>
      </w:pPr>
      <w:r>
        <w:rPr>
          <w:color w:val="000000" w:themeColor="text1"/>
          <w:kern w:val="0"/>
        </w:rPr>
        <w:t>上述文件互相补充和解释，如有不明确或不一致之处，以次序在先者为准。</w:t>
      </w:r>
    </w:p>
    <w:p w14:paraId="43706F69">
      <w:pPr>
        <w:autoSpaceDE w:val="0"/>
        <w:autoSpaceDN w:val="0"/>
        <w:adjustRightInd w:val="0"/>
        <w:snapToGrid w:val="0"/>
        <w:spacing w:line="360" w:lineRule="auto"/>
        <w:ind w:firstLine="420" w:firstLineChars="200"/>
        <w:jc w:val="left"/>
        <w:rPr>
          <w:color w:val="000000" w:themeColor="text1"/>
          <w:kern w:val="0"/>
        </w:rPr>
      </w:pPr>
      <w:r>
        <w:rPr>
          <w:rFonts w:hint="eastAsia"/>
          <w:color w:val="000000" w:themeColor="text1"/>
          <w:kern w:val="0"/>
        </w:rPr>
        <w:t>3</w:t>
      </w:r>
      <w:r>
        <w:rPr>
          <w:color w:val="000000" w:themeColor="text1"/>
          <w:kern w:val="0"/>
        </w:rPr>
        <w:t>.签约合同价：人民币</w:t>
      </w:r>
      <w:r>
        <w:rPr>
          <w:color w:val="000000" w:themeColor="text1"/>
          <w:kern w:val="0"/>
          <w:u w:val="single"/>
        </w:rPr>
        <w:t>（大写）（¥）</w:t>
      </w:r>
      <w:r>
        <w:rPr>
          <w:color w:val="000000" w:themeColor="text1"/>
          <w:kern w:val="0"/>
        </w:rPr>
        <w:t>。本合同为固定</w:t>
      </w:r>
      <w:r>
        <w:rPr>
          <w:rFonts w:hint="eastAsia"/>
          <w:color w:val="000000" w:themeColor="text1"/>
          <w:kern w:val="0"/>
        </w:rPr>
        <w:t>总</w:t>
      </w:r>
      <w:r>
        <w:rPr>
          <w:color w:val="000000" w:themeColor="text1"/>
          <w:kern w:val="0"/>
        </w:rPr>
        <w:t>价合同，合同一经签订，标价的工程量清单中的各细目单价或总额价不因任何因素调整。</w:t>
      </w:r>
    </w:p>
    <w:p w14:paraId="69F29503">
      <w:pPr>
        <w:autoSpaceDE w:val="0"/>
        <w:autoSpaceDN w:val="0"/>
        <w:adjustRightInd w:val="0"/>
        <w:snapToGrid w:val="0"/>
        <w:spacing w:line="360" w:lineRule="auto"/>
        <w:ind w:firstLine="420" w:firstLineChars="200"/>
        <w:jc w:val="left"/>
        <w:rPr>
          <w:color w:val="000000" w:themeColor="text1"/>
          <w:kern w:val="0"/>
          <w:u w:val="single"/>
        </w:rPr>
      </w:pPr>
      <w:r>
        <w:rPr>
          <w:rFonts w:hint="eastAsia"/>
          <w:color w:val="000000" w:themeColor="text1"/>
          <w:kern w:val="0"/>
        </w:rPr>
        <w:t>4</w:t>
      </w:r>
      <w:r>
        <w:rPr>
          <w:color w:val="000000" w:themeColor="text1"/>
          <w:kern w:val="0"/>
        </w:rPr>
        <w:t>.承包人项目经理：</w:t>
      </w:r>
      <w:r>
        <w:rPr>
          <w:rFonts w:hint="eastAsia"/>
          <w:color w:val="000000" w:themeColor="text1"/>
          <w:kern w:val="0"/>
        </w:rPr>
        <w:t>。</w:t>
      </w:r>
    </w:p>
    <w:p w14:paraId="7C9BB968">
      <w:pPr>
        <w:autoSpaceDE w:val="0"/>
        <w:autoSpaceDN w:val="0"/>
        <w:adjustRightInd w:val="0"/>
        <w:snapToGrid w:val="0"/>
        <w:spacing w:line="360" w:lineRule="auto"/>
        <w:ind w:firstLine="420" w:firstLineChars="200"/>
        <w:jc w:val="left"/>
        <w:rPr>
          <w:color w:val="000000" w:themeColor="text1"/>
          <w:kern w:val="0"/>
          <w:u w:val="single"/>
        </w:rPr>
      </w:pPr>
      <w:r>
        <w:rPr>
          <w:rFonts w:hint="eastAsia"/>
          <w:color w:val="000000" w:themeColor="text1"/>
          <w:kern w:val="0"/>
        </w:rPr>
        <w:t>5</w:t>
      </w:r>
      <w:r>
        <w:rPr>
          <w:color w:val="000000" w:themeColor="text1"/>
          <w:kern w:val="0"/>
        </w:rPr>
        <w:t>.工程质量目标：。</w:t>
      </w:r>
    </w:p>
    <w:p w14:paraId="1056B8A6">
      <w:pPr>
        <w:autoSpaceDE w:val="0"/>
        <w:autoSpaceDN w:val="0"/>
        <w:adjustRightInd w:val="0"/>
        <w:snapToGrid w:val="0"/>
        <w:spacing w:line="360" w:lineRule="auto"/>
        <w:ind w:firstLine="420" w:firstLineChars="200"/>
        <w:jc w:val="left"/>
        <w:rPr>
          <w:color w:val="000000" w:themeColor="text1"/>
          <w:kern w:val="0"/>
        </w:rPr>
      </w:pPr>
      <w:r>
        <w:rPr>
          <w:rFonts w:hint="eastAsia"/>
          <w:color w:val="000000" w:themeColor="text1"/>
          <w:kern w:val="0"/>
        </w:rPr>
        <w:t>6</w:t>
      </w:r>
      <w:r>
        <w:rPr>
          <w:color w:val="000000" w:themeColor="text1"/>
          <w:kern w:val="0"/>
        </w:rPr>
        <w:t>.安全生产目标：。</w:t>
      </w:r>
    </w:p>
    <w:p w14:paraId="0DADD778">
      <w:pPr>
        <w:autoSpaceDE w:val="0"/>
        <w:autoSpaceDN w:val="0"/>
        <w:adjustRightInd w:val="0"/>
        <w:snapToGrid w:val="0"/>
        <w:spacing w:line="360" w:lineRule="auto"/>
        <w:ind w:firstLine="420" w:firstLineChars="200"/>
        <w:jc w:val="left"/>
        <w:rPr>
          <w:color w:val="000000" w:themeColor="text1"/>
          <w:kern w:val="0"/>
        </w:rPr>
      </w:pPr>
      <w:r>
        <w:rPr>
          <w:rFonts w:hint="eastAsia"/>
          <w:color w:val="000000" w:themeColor="text1"/>
          <w:kern w:val="0"/>
        </w:rPr>
        <w:t>7</w:t>
      </w:r>
      <w:r>
        <w:rPr>
          <w:color w:val="000000" w:themeColor="text1"/>
          <w:kern w:val="0"/>
        </w:rPr>
        <w:t>.承包人应按照监理人指示开工，工期为</w:t>
      </w:r>
      <w:r>
        <w:rPr>
          <w:rFonts w:hint="eastAsia"/>
          <w:color w:val="000000" w:themeColor="text1"/>
          <w:kern w:val="0"/>
        </w:rPr>
        <w:t>：</w:t>
      </w:r>
      <w:r>
        <w:rPr>
          <w:color w:val="000000" w:themeColor="text1"/>
          <w:kern w:val="0"/>
        </w:rPr>
        <w:t>。</w:t>
      </w:r>
    </w:p>
    <w:p w14:paraId="48719F86">
      <w:pPr>
        <w:autoSpaceDE w:val="0"/>
        <w:autoSpaceDN w:val="0"/>
        <w:adjustRightInd w:val="0"/>
        <w:snapToGrid w:val="0"/>
        <w:spacing w:line="360" w:lineRule="auto"/>
        <w:ind w:firstLine="420" w:firstLineChars="200"/>
        <w:jc w:val="left"/>
        <w:rPr>
          <w:color w:val="000000" w:themeColor="text1"/>
          <w:kern w:val="0"/>
        </w:rPr>
      </w:pPr>
      <w:r>
        <w:rPr>
          <w:rFonts w:hint="eastAsia"/>
          <w:color w:val="000000" w:themeColor="text1"/>
          <w:kern w:val="0"/>
        </w:rPr>
        <w:t>8</w:t>
      </w:r>
      <w:r>
        <w:rPr>
          <w:color w:val="000000" w:themeColor="text1"/>
          <w:kern w:val="0"/>
        </w:rPr>
        <w:t>.承包人承诺按合同约定承担工程的实施、完成及缺陷修复。</w:t>
      </w:r>
    </w:p>
    <w:p w14:paraId="26A55F32">
      <w:pPr>
        <w:autoSpaceDE w:val="0"/>
        <w:autoSpaceDN w:val="0"/>
        <w:adjustRightInd w:val="0"/>
        <w:snapToGrid w:val="0"/>
        <w:spacing w:line="360" w:lineRule="auto"/>
        <w:ind w:firstLine="420" w:firstLineChars="200"/>
        <w:jc w:val="left"/>
        <w:rPr>
          <w:color w:val="000000" w:themeColor="text1"/>
          <w:kern w:val="0"/>
        </w:rPr>
      </w:pPr>
      <w:r>
        <w:rPr>
          <w:rFonts w:hint="eastAsia"/>
          <w:color w:val="000000" w:themeColor="text1"/>
          <w:kern w:val="0"/>
        </w:rPr>
        <w:t>9</w:t>
      </w:r>
      <w:r>
        <w:rPr>
          <w:color w:val="000000" w:themeColor="text1"/>
          <w:kern w:val="0"/>
        </w:rPr>
        <w:t>.发包人承诺按合同约定的条件、时间和方式向承包人支付合同价款。具体付款方式为</w:t>
      </w:r>
      <w:r>
        <w:rPr>
          <w:rFonts w:hint="eastAsia"/>
          <w:color w:val="000000" w:themeColor="text1"/>
          <w:kern w:val="0"/>
        </w:rPr>
        <w:t>：</w:t>
      </w:r>
    </w:p>
    <w:p w14:paraId="6B184BBC">
      <w:pPr>
        <w:autoSpaceDE w:val="0"/>
        <w:autoSpaceDN w:val="0"/>
        <w:adjustRightInd w:val="0"/>
        <w:snapToGrid w:val="0"/>
        <w:spacing w:line="360" w:lineRule="auto"/>
        <w:ind w:firstLine="422" w:firstLineChars="200"/>
        <w:jc w:val="left"/>
        <w:rPr>
          <w:b/>
          <w:bCs/>
          <w:color w:val="000000" w:themeColor="text1"/>
          <w:kern w:val="0"/>
        </w:rPr>
      </w:pPr>
      <w:r>
        <w:rPr>
          <w:rFonts w:hint="eastAsia"/>
          <w:b/>
          <w:bCs/>
          <w:color w:val="000000" w:themeColor="text1"/>
          <w:kern w:val="0"/>
        </w:rPr>
        <w:t>项目完工验收合格且结算审核审定后一次性支付审定价的100%，以上付款均不计利息。</w:t>
      </w:r>
    </w:p>
    <w:p w14:paraId="4D08107E">
      <w:pPr>
        <w:autoSpaceDE w:val="0"/>
        <w:autoSpaceDN w:val="0"/>
        <w:adjustRightInd w:val="0"/>
        <w:snapToGrid w:val="0"/>
        <w:spacing w:line="360" w:lineRule="auto"/>
        <w:ind w:firstLine="422" w:firstLineChars="200"/>
        <w:jc w:val="left"/>
        <w:rPr>
          <w:b/>
          <w:bCs/>
          <w:color w:val="000000" w:themeColor="text1"/>
          <w:kern w:val="0"/>
          <w:u w:val="single"/>
        </w:rPr>
      </w:pPr>
      <w:r>
        <w:rPr>
          <w:rFonts w:hint="eastAsia"/>
          <w:b/>
          <w:bCs/>
          <w:color w:val="000000" w:themeColor="text1"/>
          <w:kern w:val="0"/>
        </w:rPr>
        <w:t>每次支付前，承包人均应出具由税务部门开具的相应金额的发票。</w:t>
      </w:r>
    </w:p>
    <w:p w14:paraId="61866486">
      <w:pPr>
        <w:autoSpaceDE w:val="0"/>
        <w:autoSpaceDN w:val="0"/>
        <w:adjustRightInd w:val="0"/>
        <w:snapToGrid w:val="0"/>
        <w:spacing w:line="360" w:lineRule="auto"/>
        <w:ind w:firstLine="420" w:firstLineChars="200"/>
        <w:jc w:val="left"/>
        <w:rPr>
          <w:color w:val="000000" w:themeColor="text1"/>
          <w:kern w:val="0"/>
        </w:rPr>
      </w:pPr>
      <w:r>
        <w:rPr>
          <w:rFonts w:hint="eastAsia"/>
          <w:color w:val="000000" w:themeColor="text1"/>
          <w:kern w:val="0"/>
        </w:rPr>
        <w:t>10</w:t>
      </w:r>
      <w:r>
        <w:rPr>
          <w:color w:val="000000" w:themeColor="text1"/>
          <w:kern w:val="0"/>
        </w:rPr>
        <w:t>.合同未</w:t>
      </w:r>
      <w:r>
        <w:rPr>
          <w:color w:val="000000" w:themeColor="text1"/>
          <w:spacing w:val="-1"/>
          <w:kern w:val="0"/>
        </w:rPr>
        <w:t>尽</w:t>
      </w:r>
      <w:r>
        <w:rPr>
          <w:color w:val="000000" w:themeColor="text1"/>
          <w:kern w:val="0"/>
        </w:rPr>
        <w:t>事宜，双方另行签订补充协议。补充协议是合同的组成部分。</w:t>
      </w:r>
    </w:p>
    <w:p w14:paraId="7A4EE3EE">
      <w:pPr>
        <w:autoSpaceDE w:val="0"/>
        <w:autoSpaceDN w:val="0"/>
        <w:adjustRightInd w:val="0"/>
        <w:snapToGrid w:val="0"/>
        <w:spacing w:line="360" w:lineRule="auto"/>
        <w:ind w:firstLine="420" w:firstLineChars="200"/>
        <w:jc w:val="left"/>
        <w:rPr>
          <w:color w:val="000000" w:themeColor="text1"/>
          <w:kern w:val="0"/>
        </w:rPr>
      </w:pPr>
      <w:r>
        <w:rPr>
          <w:rFonts w:hint="eastAsia"/>
          <w:color w:val="000000" w:themeColor="text1"/>
          <w:kern w:val="0"/>
        </w:rPr>
        <w:t>11</w:t>
      </w:r>
      <w:r>
        <w:rPr>
          <w:color w:val="000000" w:themeColor="text1"/>
          <w:kern w:val="0"/>
        </w:rPr>
        <w:t>. 本合同在承包人提交履约担保，且由双方法定代表人或授权代理人在本协议书上签字、盖章后生效。</w:t>
      </w:r>
    </w:p>
    <w:p w14:paraId="68240726">
      <w:pPr>
        <w:autoSpaceDE w:val="0"/>
        <w:autoSpaceDN w:val="0"/>
        <w:adjustRightInd w:val="0"/>
        <w:snapToGrid w:val="0"/>
        <w:spacing w:line="360" w:lineRule="auto"/>
        <w:ind w:firstLine="420" w:firstLineChars="200"/>
        <w:jc w:val="left"/>
        <w:rPr>
          <w:color w:val="000000" w:themeColor="text1"/>
          <w:kern w:val="0"/>
        </w:rPr>
      </w:pPr>
      <w:r>
        <w:rPr>
          <w:rFonts w:hint="eastAsia"/>
          <w:color w:val="000000" w:themeColor="text1"/>
          <w:kern w:val="0"/>
        </w:rPr>
        <w:t>12.本合同发生任何争议</w:t>
      </w:r>
      <w:r>
        <w:rPr>
          <w:color w:val="000000" w:themeColor="text1"/>
          <w:kern w:val="0"/>
        </w:rPr>
        <w:t>、分歧或索赔，以及因履行项目合同而产生的任何争议、分歧或索赔，都应首先尽力通过友好协商解决</w:t>
      </w:r>
      <w:r>
        <w:rPr>
          <w:rFonts w:hint="eastAsia"/>
          <w:color w:val="000000" w:themeColor="text1"/>
          <w:kern w:val="0"/>
        </w:rPr>
        <w:t>。</w:t>
      </w:r>
      <w:r>
        <w:rPr>
          <w:color w:val="000000" w:themeColor="text1"/>
          <w:kern w:val="0"/>
        </w:rPr>
        <w:t>若在尝试友好协商解决后三十（30）日内争议仍未能得到解决，则采取</w:t>
      </w:r>
      <w:r>
        <w:rPr>
          <w:rFonts w:hint="eastAsia"/>
          <w:color w:val="000000" w:themeColor="text1"/>
          <w:kern w:val="0"/>
          <w:u w:val="single"/>
        </w:rPr>
        <w:t>向工程所在地有管辖权的人民法院提请诉讼</w:t>
      </w:r>
      <w:r>
        <w:rPr>
          <w:color w:val="000000" w:themeColor="text1"/>
          <w:kern w:val="0"/>
        </w:rPr>
        <w:t>方式解决。</w:t>
      </w:r>
    </w:p>
    <w:p w14:paraId="3F081DDD">
      <w:pPr>
        <w:adjustRightInd w:val="0"/>
        <w:snapToGrid w:val="0"/>
        <w:spacing w:line="360" w:lineRule="auto"/>
        <w:ind w:firstLine="420" w:firstLineChars="200"/>
        <w:rPr>
          <w:color w:val="000000" w:themeColor="text1"/>
        </w:rPr>
      </w:pPr>
      <w:r>
        <w:rPr>
          <w:rFonts w:hint="eastAsia"/>
          <w:color w:val="000000" w:themeColor="text1"/>
        </w:rPr>
        <w:t>13.</w:t>
      </w:r>
      <w:r>
        <w:rPr>
          <w:color w:val="000000" w:themeColor="text1"/>
        </w:rPr>
        <w:t>本协议书一式六份，</w:t>
      </w:r>
      <w:bookmarkStart w:id="379" w:name="_Hlk66892107"/>
      <w:r>
        <w:rPr>
          <w:color w:val="000000" w:themeColor="text1"/>
        </w:rPr>
        <w:t>合同双方各执正本一份，副本</w:t>
      </w:r>
      <w:r>
        <w:rPr>
          <w:rFonts w:hint="eastAsia"/>
          <w:color w:val="000000" w:themeColor="text1"/>
        </w:rPr>
        <w:t>甲方三份，乙方一份</w:t>
      </w:r>
      <w:bookmarkEnd w:id="379"/>
      <w:r>
        <w:rPr>
          <w:color w:val="000000" w:themeColor="text1"/>
        </w:rPr>
        <w:t>。由双方法定代表人或其授权的代理人签署与加盖公章后生效，全部工程</w:t>
      </w:r>
      <w:r>
        <w:rPr>
          <w:rFonts w:hint="eastAsia"/>
          <w:color w:val="000000" w:themeColor="text1"/>
        </w:rPr>
        <w:t>完</w:t>
      </w:r>
      <w:r>
        <w:rPr>
          <w:color w:val="000000" w:themeColor="text1"/>
        </w:rPr>
        <w:t>工验收后失效。</w:t>
      </w:r>
    </w:p>
    <w:p w14:paraId="1ED1005C">
      <w:pPr>
        <w:autoSpaceDE w:val="0"/>
        <w:autoSpaceDN w:val="0"/>
        <w:adjustRightInd w:val="0"/>
        <w:snapToGrid w:val="0"/>
        <w:spacing w:line="360" w:lineRule="auto"/>
        <w:ind w:firstLine="420" w:firstLineChars="200"/>
        <w:jc w:val="left"/>
        <w:rPr>
          <w:color w:val="000000" w:themeColor="text1"/>
          <w:kern w:val="0"/>
        </w:rPr>
      </w:pPr>
    </w:p>
    <w:p w14:paraId="4734DF13">
      <w:pPr>
        <w:tabs>
          <w:tab w:val="left" w:pos="2640"/>
          <w:tab w:val="left" w:pos="4815"/>
          <w:tab w:val="left" w:pos="7665"/>
        </w:tabs>
        <w:autoSpaceDE w:val="0"/>
        <w:autoSpaceDN w:val="0"/>
        <w:adjustRightInd w:val="0"/>
        <w:snapToGrid w:val="0"/>
        <w:spacing w:line="360" w:lineRule="auto"/>
        <w:jc w:val="left"/>
        <w:rPr>
          <w:color w:val="000000" w:themeColor="text1"/>
          <w:kern w:val="0"/>
        </w:rPr>
      </w:pPr>
      <w:r>
        <w:rPr>
          <w:color w:val="000000" w:themeColor="text1"/>
          <w:kern w:val="0"/>
        </w:rPr>
        <w:t>发包人：</w:t>
      </w:r>
      <w:r>
        <w:rPr>
          <w:color w:val="000000" w:themeColor="text1"/>
          <w:kern w:val="0"/>
          <w:u w:val="single"/>
        </w:rPr>
        <w:tab/>
      </w:r>
      <w:r>
        <w:rPr>
          <w:color w:val="000000" w:themeColor="text1"/>
          <w:kern w:val="0"/>
        </w:rPr>
        <w:t>（盖单</w:t>
      </w:r>
      <w:r>
        <w:rPr>
          <w:color w:val="000000" w:themeColor="text1"/>
          <w:spacing w:val="-1"/>
          <w:kern w:val="0"/>
        </w:rPr>
        <w:t>位</w:t>
      </w:r>
      <w:r>
        <w:rPr>
          <w:color w:val="000000" w:themeColor="text1"/>
          <w:kern w:val="0"/>
        </w:rPr>
        <w:t>章）</w:t>
      </w:r>
      <w:r>
        <w:rPr>
          <w:color w:val="000000" w:themeColor="text1"/>
          <w:kern w:val="0"/>
        </w:rPr>
        <w:tab/>
      </w:r>
      <w:r>
        <w:rPr>
          <w:color w:val="000000" w:themeColor="text1"/>
          <w:spacing w:val="-1"/>
          <w:kern w:val="0"/>
        </w:rPr>
        <w:t>承</w:t>
      </w:r>
      <w:r>
        <w:rPr>
          <w:color w:val="000000" w:themeColor="text1"/>
          <w:kern w:val="0"/>
        </w:rPr>
        <w:t>包人：</w:t>
      </w:r>
      <w:r>
        <w:rPr>
          <w:color w:val="000000" w:themeColor="text1"/>
          <w:kern w:val="0"/>
          <w:u w:val="single"/>
        </w:rPr>
        <w:tab/>
      </w:r>
      <w:r>
        <w:rPr>
          <w:color w:val="000000" w:themeColor="text1"/>
          <w:kern w:val="0"/>
        </w:rPr>
        <w:t>（盖单位</w:t>
      </w:r>
      <w:r>
        <w:rPr>
          <w:color w:val="000000" w:themeColor="text1"/>
          <w:spacing w:val="1"/>
          <w:kern w:val="0"/>
        </w:rPr>
        <w:t>章</w:t>
      </w:r>
      <w:r>
        <w:rPr>
          <w:color w:val="000000" w:themeColor="text1"/>
          <w:kern w:val="0"/>
        </w:rPr>
        <w:t>）</w:t>
      </w:r>
    </w:p>
    <w:p w14:paraId="74D929DA">
      <w:pPr>
        <w:tabs>
          <w:tab w:val="left" w:pos="2640"/>
          <w:tab w:val="left" w:pos="4400"/>
          <w:tab w:val="left" w:pos="7240"/>
          <w:tab w:val="left" w:pos="7680"/>
        </w:tabs>
        <w:autoSpaceDE w:val="0"/>
        <w:autoSpaceDN w:val="0"/>
        <w:adjustRightInd w:val="0"/>
        <w:snapToGrid w:val="0"/>
        <w:spacing w:line="360" w:lineRule="auto"/>
        <w:jc w:val="left"/>
        <w:rPr>
          <w:color w:val="000000" w:themeColor="text1"/>
          <w:kern w:val="0"/>
        </w:rPr>
      </w:pPr>
      <w:r>
        <w:rPr>
          <w:color w:val="000000" w:themeColor="text1"/>
          <w:kern w:val="0"/>
        </w:rPr>
        <w:t>法定代表人</w:t>
      </w:r>
      <w:r>
        <w:rPr>
          <w:color w:val="000000" w:themeColor="text1"/>
          <w:spacing w:val="-1"/>
          <w:kern w:val="0"/>
        </w:rPr>
        <w:t>法</w:t>
      </w:r>
      <w:r>
        <w:rPr>
          <w:color w:val="000000" w:themeColor="text1"/>
          <w:kern w:val="0"/>
        </w:rPr>
        <w:t>定代表人</w:t>
      </w:r>
    </w:p>
    <w:p w14:paraId="07BA6ADB">
      <w:pPr>
        <w:tabs>
          <w:tab w:val="left" w:pos="2640"/>
          <w:tab w:val="left" w:pos="4400"/>
          <w:tab w:val="left" w:pos="7240"/>
          <w:tab w:val="left" w:pos="7680"/>
        </w:tabs>
        <w:autoSpaceDE w:val="0"/>
        <w:autoSpaceDN w:val="0"/>
        <w:adjustRightInd w:val="0"/>
        <w:snapToGrid w:val="0"/>
        <w:spacing w:line="360" w:lineRule="auto"/>
        <w:jc w:val="left"/>
        <w:rPr>
          <w:color w:val="000000" w:themeColor="text1"/>
          <w:kern w:val="0"/>
        </w:rPr>
      </w:pPr>
      <w:r>
        <w:rPr>
          <w:color w:val="000000" w:themeColor="text1"/>
          <w:kern w:val="0"/>
        </w:rPr>
        <w:t>或其委托代理人</w:t>
      </w:r>
      <w:r>
        <w:rPr>
          <w:color w:val="000000" w:themeColor="text1"/>
          <w:spacing w:val="-40"/>
          <w:kern w:val="0"/>
        </w:rPr>
        <w:t>：</w:t>
      </w:r>
      <w:r>
        <w:rPr>
          <w:color w:val="000000" w:themeColor="text1"/>
          <w:spacing w:val="-1"/>
          <w:kern w:val="0"/>
        </w:rPr>
        <w:t>（</w:t>
      </w:r>
      <w:r>
        <w:rPr>
          <w:color w:val="000000" w:themeColor="text1"/>
          <w:kern w:val="0"/>
        </w:rPr>
        <w:t>签字）或其委托代理人</w:t>
      </w:r>
      <w:r>
        <w:rPr>
          <w:color w:val="000000" w:themeColor="text1"/>
          <w:spacing w:val="-40"/>
          <w:kern w:val="0"/>
        </w:rPr>
        <w:t>：</w:t>
      </w:r>
      <w:r>
        <w:rPr>
          <w:color w:val="000000" w:themeColor="text1"/>
          <w:spacing w:val="-1"/>
          <w:kern w:val="0"/>
        </w:rPr>
        <w:t>（</w:t>
      </w:r>
      <w:r>
        <w:rPr>
          <w:color w:val="000000" w:themeColor="text1"/>
          <w:kern w:val="0"/>
        </w:rPr>
        <w:t>签字）</w:t>
      </w:r>
    </w:p>
    <w:p w14:paraId="787ECC72">
      <w:pPr>
        <w:tabs>
          <w:tab w:val="left" w:pos="1060"/>
          <w:tab w:val="left" w:pos="2000"/>
          <w:tab w:val="left" w:pos="3040"/>
          <w:tab w:val="left" w:pos="4420"/>
          <w:tab w:val="left" w:pos="5260"/>
          <w:tab w:val="left" w:pos="6400"/>
          <w:tab w:val="left" w:pos="7660"/>
        </w:tabs>
        <w:autoSpaceDE w:val="0"/>
        <w:autoSpaceDN w:val="0"/>
        <w:adjustRightInd w:val="0"/>
        <w:snapToGrid w:val="0"/>
        <w:spacing w:line="360" w:lineRule="auto"/>
        <w:ind w:firstLine="832" w:firstLineChars="400"/>
        <w:jc w:val="left"/>
        <w:rPr>
          <w:color w:val="000000" w:themeColor="text1"/>
          <w:kern w:val="0"/>
          <w:sz w:val="18"/>
          <w:szCs w:val="18"/>
        </w:rPr>
      </w:pPr>
      <w:r>
        <w:rPr>
          <w:color w:val="000000" w:themeColor="text1"/>
          <w:spacing w:val="-1"/>
          <w:kern w:val="0"/>
          <w:position w:val="-2"/>
        </w:rPr>
        <w:t>年</w:t>
      </w:r>
      <w:r>
        <w:rPr>
          <w:color w:val="000000" w:themeColor="text1"/>
          <w:kern w:val="0"/>
          <w:position w:val="-2"/>
        </w:rPr>
        <w:t>月日</w:t>
      </w:r>
      <w:r>
        <w:rPr>
          <w:color w:val="000000" w:themeColor="text1"/>
          <w:kern w:val="0"/>
          <w:position w:val="-2"/>
        </w:rPr>
        <w:tab/>
      </w:r>
      <w:r>
        <w:rPr>
          <w:color w:val="000000" w:themeColor="text1"/>
          <w:kern w:val="0"/>
          <w:position w:val="-2"/>
        </w:rPr>
        <w:t>年月日</w:t>
      </w:r>
    </w:p>
    <w:p w14:paraId="7FCD577F">
      <w:pPr>
        <w:spacing w:line="480" w:lineRule="exact"/>
        <w:rPr>
          <w:color w:val="000000" w:themeColor="text1"/>
          <w:szCs w:val="24"/>
        </w:rPr>
      </w:pPr>
    </w:p>
    <w:p w14:paraId="68C83459">
      <w:pPr>
        <w:spacing w:line="440" w:lineRule="exact"/>
        <w:rPr>
          <w:color w:val="000000" w:themeColor="text1"/>
        </w:rPr>
      </w:pPr>
      <w:bookmarkStart w:id="380" w:name="_Toc508615713"/>
      <w:bookmarkStart w:id="381" w:name="_Toc4118"/>
      <w:bookmarkStart w:id="382" w:name="_Toc11092"/>
    </w:p>
    <w:p w14:paraId="18B1ECEA">
      <w:pPr>
        <w:rPr>
          <w:color w:val="000000" w:themeColor="text1"/>
        </w:rPr>
      </w:pPr>
      <w:r>
        <w:rPr>
          <w:color w:val="000000" w:themeColor="text1"/>
        </w:rPr>
        <w:br w:type="page"/>
      </w:r>
    </w:p>
    <w:p w14:paraId="5B099D90">
      <w:pPr>
        <w:ind w:firstLine="482"/>
        <w:rPr>
          <w:b/>
          <w:bCs/>
          <w:color w:val="000000" w:themeColor="text1"/>
          <w:szCs w:val="24"/>
        </w:rPr>
      </w:pPr>
      <w:r>
        <w:rPr>
          <w:b/>
          <w:bCs/>
          <w:color w:val="000000" w:themeColor="text1"/>
          <w:szCs w:val="24"/>
        </w:rPr>
        <w:t>附件二：廉政合同</w:t>
      </w:r>
      <w:bookmarkEnd w:id="380"/>
      <w:bookmarkEnd w:id="381"/>
      <w:bookmarkEnd w:id="382"/>
    </w:p>
    <w:p w14:paraId="40ACA5C2">
      <w:pPr>
        <w:spacing w:line="440" w:lineRule="exact"/>
        <w:ind w:firstLine="560"/>
        <w:jc w:val="center"/>
        <w:rPr>
          <w:color w:val="000000" w:themeColor="text1"/>
          <w:sz w:val="28"/>
          <w:szCs w:val="28"/>
        </w:rPr>
      </w:pPr>
      <w:r>
        <w:rPr>
          <w:color w:val="000000" w:themeColor="text1"/>
          <w:sz w:val="28"/>
          <w:szCs w:val="28"/>
        </w:rPr>
        <w:t>廉政合同</w:t>
      </w:r>
    </w:p>
    <w:p w14:paraId="47523786">
      <w:pPr>
        <w:spacing w:line="460" w:lineRule="exact"/>
        <w:ind w:firstLine="480"/>
        <w:rPr>
          <w:color w:val="000000" w:themeColor="text1"/>
          <w:szCs w:val="24"/>
        </w:rPr>
      </w:pPr>
      <w:r>
        <w:rPr>
          <w:color w:val="000000" w:themeColor="text1"/>
          <w:szCs w:val="24"/>
        </w:rPr>
        <w:t>根据《关于在交通基础设施建设中加强廉政建设的若干意见》以及有关工程建设、廉政建设的规定，为做好工程建设中的党风廉政建设，保证工程建设高效优质，保证建设资金的安全和有效使用以及投资效益，的项目法人（项目法人名称，以下简称“发包人”）与该项目的施工单位（施工单位名称，以下简称“承包人”），特订立如下合同。</w:t>
      </w:r>
    </w:p>
    <w:p w14:paraId="13B2E1D2">
      <w:pPr>
        <w:spacing w:line="460" w:lineRule="exact"/>
        <w:ind w:firstLine="480"/>
        <w:rPr>
          <w:color w:val="000000" w:themeColor="text1"/>
          <w:szCs w:val="24"/>
        </w:rPr>
      </w:pPr>
      <w:r>
        <w:rPr>
          <w:color w:val="000000" w:themeColor="text1"/>
          <w:szCs w:val="24"/>
        </w:rPr>
        <w:t>1.发包人和承包人双方的权利和义务</w:t>
      </w:r>
    </w:p>
    <w:p w14:paraId="6F6E7E03">
      <w:pPr>
        <w:spacing w:line="460" w:lineRule="exact"/>
        <w:ind w:firstLine="315" w:firstLineChars="150"/>
        <w:rPr>
          <w:color w:val="000000" w:themeColor="text1"/>
          <w:szCs w:val="24"/>
        </w:rPr>
      </w:pPr>
      <w:r>
        <w:rPr>
          <w:color w:val="000000" w:themeColor="text1"/>
          <w:szCs w:val="24"/>
        </w:rPr>
        <w:t>（1）严格遵守党的政策规定和国家有关法律法规及交通运输部的有关规定。</w:t>
      </w:r>
    </w:p>
    <w:p w14:paraId="11C469A8">
      <w:pPr>
        <w:spacing w:line="460" w:lineRule="exact"/>
        <w:ind w:firstLine="315" w:firstLineChars="150"/>
        <w:rPr>
          <w:color w:val="000000" w:themeColor="text1"/>
          <w:szCs w:val="24"/>
        </w:rPr>
      </w:pPr>
      <w:r>
        <w:rPr>
          <w:color w:val="000000" w:themeColor="text1"/>
          <w:szCs w:val="24"/>
        </w:rPr>
        <w:t>（2）严格执行（项目名称）标段合同文件，自觉按合同办事。</w:t>
      </w:r>
    </w:p>
    <w:p w14:paraId="1E9089D9">
      <w:pPr>
        <w:spacing w:line="460" w:lineRule="exact"/>
        <w:ind w:firstLine="315" w:firstLineChars="150"/>
        <w:rPr>
          <w:color w:val="000000" w:themeColor="text1"/>
          <w:szCs w:val="24"/>
        </w:rPr>
      </w:pPr>
      <w:r>
        <w:rPr>
          <w:color w:val="000000" w:themeColor="text1"/>
          <w:szCs w:val="24"/>
        </w:rPr>
        <w:t>（3）双方的业务活动坚持公开、公正、诚信、透明的原则（法律认定的商业秘密和合同文件另有规定除外），不得损害国家和集体利益，不得违反工程建设管理规章制度。</w:t>
      </w:r>
    </w:p>
    <w:p w14:paraId="68C4C6DC">
      <w:pPr>
        <w:spacing w:line="460" w:lineRule="exact"/>
        <w:ind w:firstLine="315" w:firstLineChars="150"/>
        <w:rPr>
          <w:color w:val="000000" w:themeColor="text1"/>
          <w:szCs w:val="24"/>
        </w:rPr>
      </w:pPr>
      <w:r>
        <w:rPr>
          <w:color w:val="000000" w:themeColor="text1"/>
          <w:szCs w:val="24"/>
        </w:rPr>
        <w:t>（4）建立健全廉政制度，开展廉政教育，设立廉政告示牌，公布举报电话，监督并认真查处违法违纪行为。</w:t>
      </w:r>
    </w:p>
    <w:p w14:paraId="14D573AC">
      <w:pPr>
        <w:spacing w:line="460" w:lineRule="exact"/>
        <w:ind w:firstLine="315" w:firstLineChars="150"/>
        <w:rPr>
          <w:color w:val="000000" w:themeColor="text1"/>
          <w:szCs w:val="24"/>
        </w:rPr>
      </w:pPr>
      <w:r>
        <w:rPr>
          <w:color w:val="000000" w:themeColor="text1"/>
          <w:szCs w:val="24"/>
        </w:rPr>
        <w:t>（5）发现对方在业务活动中有违反廉政规定的行为，有及时提醒对方纠正的权利和义务。</w:t>
      </w:r>
    </w:p>
    <w:p w14:paraId="69FFACB9">
      <w:pPr>
        <w:spacing w:line="460" w:lineRule="exact"/>
        <w:ind w:firstLine="315" w:firstLineChars="150"/>
        <w:rPr>
          <w:color w:val="000000" w:themeColor="text1"/>
          <w:szCs w:val="24"/>
        </w:rPr>
      </w:pPr>
      <w:r>
        <w:rPr>
          <w:color w:val="000000" w:themeColor="text1"/>
          <w:szCs w:val="24"/>
        </w:rPr>
        <w:t>（6）发现对方严重违反本合同义务条款的行为，有向其上级有关部门举报、建议给予处理并要求告知处理结果的权利。</w:t>
      </w:r>
    </w:p>
    <w:p w14:paraId="53EFDE54">
      <w:pPr>
        <w:spacing w:line="460" w:lineRule="exact"/>
        <w:ind w:firstLine="480"/>
        <w:rPr>
          <w:color w:val="000000" w:themeColor="text1"/>
          <w:szCs w:val="24"/>
        </w:rPr>
      </w:pPr>
      <w:r>
        <w:rPr>
          <w:color w:val="000000" w:themeColor="text1"/>
          <w:szCs w:val="24"/>
        </w:rPr>
        <w:t>2.发包人的义务</w:t>
      </w:r>
    </w:p>
    <w:p w14:paraId="6D7ABF02">
      <w:pPr>
        <w:spacing w:line="460" w:lineRule="exact"/>
        <w:ind w:firstLine="315" w:firstLineChars="150"/>
        <w:rPr>
          <w:color w:val="000000" w:themeColor="text1"/>
          <w:szCs w:val="24"/>
        </w:rPr>
      </w:pPr>
      <w:r>
        <w:rPr>
          <w:color w:val="000000" w:themeColor="text1"/>
          <w:szCs w:val="24"/>
        </w:rPr>
        <w:t>（1）发包人及其工作人员不得索要或接受承包人的礼金、有价证券和贵重物品，不得让承包人报销任何应由发包人或发包人工作人员个人支付的费用等。</w:t>
      </w:r>
    </w:p>
    <w:p w14:paraId="29BA30D1">
      <w:pPr>
        <w:spacing w:line="460" w:lineRule="exact"/>
        <w:ind w:firstLine="315" w:firstLineChars="150"/>
        <w:rPr>
          <w:color w:val="000000" w:themeColor="text1"/>
          <w:szCs w:val="24"/>
        </w:rPr>
      </w:pPr>
      <w:r>
        <w:rPr>
          <w:color w:val="000000" w:themeColor="text1"/>
          <w:szCs w:val="24"/>
        </w:rPr>
        <w:t>（2）发包人工作人员不得参加承包人安排的宴请和娱乐活动；不得接受承包人提供的通讯工具、交通工具和办公用品等。</w:t>
      </w:r>
    </w:p>
    <w:p w14:paraId="73E9924C">
      <w:pPr>
        <w:spacing w:line="460" w:lineRule="exact"/>
        <w:ind w:firstLine="315" w:firstLineChars="150"/>
        <w:rPr>
          <w:color w:val="000000" w:themeColor="text1"/>
          <w:szCs w:val="24"/>
        </w:rPr>
      </w:pPr>
      <w:r>
        <w:rPr>
          <w:color w:val="000000" w:themeColor="text1"/>
          <w:szCs w:val="24"/>
        </w:rPr>
        <w:t>（3）发包人及其工作人员不得要求或者接受承包人为其住房装修、婚丧嫁娶活动、配偶子女的工作安排以及出国出境、旅游等提供方便等。</w:t>
      </w:r>
    </w:p>
    <w:p w14:paraId="3CF21806">
      <w:pPr>
        <w:spacing w:line="460" w:lineRule="exact"/>
        <w:ind w:firstLine="315" w:firstLineChars="150"/>
        <w:rPr>
          <w:color w:val="000000" w:themeColor="text1"/>
          <w:szCs w:val="24"/>
        </w:rPr>
      </w:pPr>
      <w:r>
        <w:rPr>
          <w:color w:val="000000" w:themeColor="text1"/>
          <w:szCs w:val="24"/>
        </w:rPr>
        <w:t>（4）发包人工作人员及其配偶、子女不得从事与发包人工程有关的材料设备供应、工程分包、劳务等经济活动等。</w:t>
      </w:r>
    </w:p>
    <w:p w14:paraId="5A70B6CB">
      <w:pPr>
        <w:spacing w:line="460" w:lineRule="exact"/>
        <w:ind w:firstLine="315" w:firstLineChars="150"/>
        <w:rPr>
          <w:color w:val="000000" w:themeColor="text1"/>
          <w:szCs w:val="24"/>
        </w:rPr>
      </w:pPr>
      <w:r>
        <w:rPr>
          <w:color w:val="000000" w:themeColor="text1"/>
          <w:szCs w:val="24"/>
        </w:rPr>
        <w:t>（5）发包人及其工作人员不得以任何理由向承包人推荐分包单位或推销材料，不得要求承包人购买合同规定外的材料和设备。</w:t>
      </w:r>
    </w:p>
    <w:p w14:paraId="222EDDD8">
      <w:pPr>
        <w:spacing w:line="460" w:lineRule="exact"/>
        <w:ind w:firstLine="315" w:firstLineChars="150"/>
        <w:rPr>
          <w:color w:val="000000" w:themeColor="text1"/>
          <w:szCs w:val="24"/>
        </w:rPr>
      </w:pPr>
      <w:r>
        <w:rPr>
          <w:color w:val="000000" w:themeColor="text1"/>
          <w:szCs w:val="24"/>
        </w:rPr>
        <w:t>（6）发包人工作人员要秉公办事，不准营私舞弊，不准利用职权从事各种个人有偿中介活动和安排个人施工队伍。</w:t>
      </w:r>
    </w:p>
    <w:p w14:paraId="0F0D9D70">
      <w:pPr>
        <w:spacing w:line="460" w:lineRule="exact"/>
        <w:ind w:firstLine="480"/>
        <w:rPr>
          <w:color w:val="000000" w:themeColor="text1"/>
          <w:szCs w:val="24"/>
        </w:rPr>
      </w:pPr>
      <w:r>
        <w:rPr>
          <w:color w:val="000000" w:themeColor="text1"/>
          <w:szCs w:val="24"/>
        </w:rPr>
        <w:t>3.承包人的义务</w:t>
      </w:r>
    </w:p>
    <w:p w14:paraId="07C29DE6">
      <w:pPr>
        <w:spacing w:line="460" w:lineRule="exact"/>
        <w:ind w:firstLine="315" w:firstLineChars="150"/>
        <w:rPr>
          <w:color w:val="000000" w:themeColor="text1"/>
          <w:szCs w:val="24"/>
        </w:rPr>
      </w:pPr>
      <w:r>
        <w:rPr>
          <w:color w:val="000000" w:themeColor="text1"/>
          <w:szCs w:val="24"/>
        </w:rPr>
        <w:t>（1）承包人不得以任何理由向发包人及其工作人员行贿或馈赠礼金、有价证券、贵重礼品。</w:t>
      </w:r>
    </w:p>
    <w:p w14:paraId="085B454B">
      <w:pPr>
        <w:spacing w:line="460" w:lineRule="exact"/>
        <w:ind w:firstLine="315" w:firstLineChars="150"/>
        <w:rPr>
          <w:color w:val="000000" w:themeColor="text1"/>
          <w:szCs w:val="24"/>
        </w:rPr>
      </w:pPr>
      <w:r>
        <w:rPr>
          <w:color w:val="000000" w:themeColor="text1"/>
          <w:szCs w:val="24"/>
        </w:rPr>
        <w:t>（2）承包人不得以任何名义为发包人及其工作人员报销应由发包人单位或个人支付的任何费用。</w:t>
      </w:r>
    </w:p>
    <w:p w14:paraId="1CD30F59">
      <w:pPr>
        <w:spacing w:line="460" w:lineRule="exact"/>
        <w:ind w:firstLine="315" w:firstLineChars="150"/>
        <w:rPr>
          <w:color w:val="000000" w:themeColor="text1"/>
          <w:szCs w:val="24"/>
        </w:rPr>
      </w:pPr>
      <w:r>
        <w:rPr>
          <w:color w:val="000000" w:themeColor="text1"/>
          <w:szCs w:val="24"/>
        </w:rPr>
        <w:t>（3）承包人不得以任何理由安排发包人工作人员参加宴请及娱乐活动。</w:t>
      </w:r>
    </w:p>
    <w:p w14:paraId="0F9C96C1">
      <w:pPr>
        <w:spacing w:line="460" w:lineRule="exact"/>
        <w:ind w:firstLine="315" w:firstLineChars="150"/>
        <w:rPr>
          <w:color w:val="000000" w:themeColor="text1"/>
          <w:szCs w:val="24"/>
        </w:rPr>
      </w:pPr>
      <w:r>
        <w:rPr>
          <w:color w:val="000000" w:themeColor="text1"/>
          <w:szCs w:val="24"/>
        </w:rPr>
        <w:t>（4）承包人不得为发包人单位和个人购置或提供通迅工具、交通工具和办公用品等。</w:t>
      </w:r>
    </w:p>
    <w:p w14:paraId="0D50701F">
      <w:pPr>
        <w:spacing w:line="460" w:lineRule="exact"/>
        <w:ind w:firstLine="480"/>
        <w:rPr>
          <w:color w:val="000000" w:themeColor="text1"/>
          <w:szCs w:val="24"/>
        </w:rPr>
      </w:pPr>
      <w:r>
        <w:rPr>
          <w:color w:val="000000" w:themeColor="text1"/>
          <w:szCs w:val="24"/>
        </w:rPr>
        <w:t>4.违约责任</w:t>
      </w:r>
    </w:p>
    <w:p w14:paraId="4A1B432D">
      <w:pPr>
        <w:spacing w:line="460" w:lineRule="exact"/>
        <w:ind w:firstLine="315" w:firstLineChars="150"/>
        <w:rPr>
          <w:color w:val="000000" w:themeColor="text1"/>
          <w:szCs w:val="24"/>
        </w:rPr>
      </w:pPr>
      <w:r>
        <w:rPr>
          <w:color w:val="000000" w:themeColor="text1"/>
          <w:szCs w:val="24"/>
        </w:rPr>
        <w:t>（1）发包人及其工作人员违反本合同第1、2条，按管理权限，依据有关规定给予党纪、政纪或组织处理；涉嫌犯罪的，移交司法机关追究刑事责任；给承包人单位造成经济损失的，应予以赔偿。</w:t>
      </w:r>
    </w:p>
    <w:p w14:paraId="5DD74B32">
      <w:pPr>
        <w:spacing w:line="460" w:lineRule="exact"/>
        <w:ind w:firstLine="315" w:firstLineChars="150"/>
        <w:rPr>
          <w:color w:val="000000" w:themeColor="text1"/>
          <w:szCs w:val="24"/>
        </w:rPr>
      </w:pPr>
      <w:r>
        <w:rPr>
          <w:color w:val="000000" w:themeColor="text1"/>
          <w:szCs w:val="24"/>
        </w:rPr>
        <w:t>（2）承包人及其工作人员违反本合同第1、3条，按管理权限，依据有关规定给予党纪、政纪或组织处理；给发包人造成经济损失的，应予以赔偿；并按照违纪违法认定金额的双倍承担违约金。合同款项未完全支付的，违约金在支付时予以扣减；合同款已支付承包人或未支付款不足以支付违约金的，承包人另行支付违约金。情节严重的，发包人建议交通主管部门给予承包人一至三年内不得进入其主管的公路建设市场的处罚。</w:t>
      </w:r>
    </w:p>
    <w:p w14:paraId="1D5894CC">
      <w:pPr>
        <w:spacing w:line="460" w:lineRule="exact"/>
        <w:ind w:firstLine="480"/>
        <w:rPr>
          <w:color w:val="000000" w:themeColor="text1"/>
          <w:szCs w:val="24"/>
        </w:rPr>
      </w:pPr>
      <w:r>
        <w:rPr>
          <w:color w:val="000000" w:themeColor="text1"/>
          <w:szCs w:val="24"/>
        </w:rPr>
        <w:t>5.本合同有效期为发包人和承包人签署之日起至该项目</w:t>
      </w:r>
      <w:r>
        <w:rPr>
          <w:rFonts w:hint="eastAsia"/>
          <w:color w:val="000000" w:themeColor="text1"/>
          <w:szCs w:val="24"/>
        </w:rPr>
        <w:t>交工</w:t>
      </w:r>
      <w:r>
        <w:rPr>
          <w:color w:val="000000" w:themeColor="text1"/>
          <w:szCs w:val="24"/>
        </w:rPr>
        <w:t>验收后止。</w:t>
      </w:r>
    </w:p>
    <w:p w14:paraId="42B818C4">
      <w:pPr>
        <w:spacing w:line="460" w:lineRule="exact"/>
        <w:ind w:firstLine="480"/>
        <w:rPr>
          <w:color w:val="000000" w:themeColor="text1"/>
          <w:szCs w:val="24"/>
        </w:rPr>
      </w:pPr>
      <w:r>
        <w:rPr>
          <w:color w:val="000000" w:themeColor="text1"/>
          <w:szCs w:val="24"/>
        </w:rPr>
        <w:t>6.本合同作为(项目名称) 合同的附件，与主合同具有同等的法律效力，经合同双方签署后立即生效。</w:t>
      </w:r>
    </w:p>
    <w:p w14:paraId="5AD4969D">
      <w:pPr>
        <w:spacing w:line="460" w:lineRule="exact"/>
        <w:ind w:firstLine="480"/>
        <w:rPr>
          <w:color w:val="000000" w:themeColor="text1"/>
          <w:szCs w:val="24"/>
        </w:rPr>
      </w:pPr>
      <w:r>
        <w:rPr>
          <w:color w:val="000000" w:themeColor="text1"/>
          <w:szCs w:val="24"/>
        </w:rPr>
        <w:t>7.</w:t>
      </w:r>
      <w:r>
        <w:rPr>
          <w:rFonts w:hint="eastAsia"/>
          <w:color w:val="000000" w:themeColor="text1"/>
          <w:szCs w:val="24"/>
        </w:rPr>
        <w:t>本合同一式六份，合同双方各执正本一份，副本甲方三份，乙方一份。</w:t>
      </w:r>
    </w:p>
    <w:p w14:paraId="73015407">
      <w:pPr>
        <w:spacing w:line="460" w:lineRule="exact"/>
        <w:ind w:firstLine="480"/>
        <w:rPr>
          <w:color w:val="000000" w:themeColor="text1"/>
          <w:szCs w:val="24"/>
        </w:rPr>
      </w:pPr>
    </w:p>
    <w:p w14:paraId="0720B388">
      <w:pPr>
        <w:spacing w:line="460" w:lineRule="exact"/>
        <w:ind w:firstLine="480"/>
        <w:rPr>
          <w:color w:val="000000" w:themeColor="text1"/>
          <w:szCs w:val="24"/>
        </w:rPr>
      </w:pPr>
    </w:p>
    <w:p w14:paraId="388C295E">
      <w:pPr>
        <w:spacing w:line="460" w:lineRule="exact"/>
        <w:rPr>
          <w:color w:val="000000" w:themeColor="text1"/>
          <w:szCs w:val="24"/>
        </w:rPr>
      </w:pPr>
      <w:r>
        <w:rPr>
          <w:color w:val="000000" w:themeColor="text1"/>
          <w:szCs w:val="24"/>
        </w:rPr>
        <w:t>发包人：（盖单位章）承包人：（盖单位章）</w:t>
      </w:r>
    </w:p>
    <w:p w14:paraId="61DDBF8A">
      <w:pPr>
        <w:spacing w:line="460" w:lineRule="exact"/>
        <w:rPr>
          <w:color w:val="000000" w:themeColor="text1"/>
          <w:szCs w:val="24"/>
        </w:rPr>
      </w:pPr>
      <w:r>
        <w:rPr>
          <w:color w:val="000000" w:themeColor="text1"/>
          <w:szCs w:val="24"/>
        </w:rPr>
        <w:t>法定代表人或其委托代理人：（签字）法定代表人或其委托代理人：（签字）</w:t>
      </w:r>
    </w:p>
    <w:p w14:paraId="4E920D29">
      <w:pPr>
        <w:spacing w:line="460" w:lineRule="exact"/>
        <w:ind w:firstLine="1890" w:firstLineChars="900"/>
        <w:rPr>
          <w:color w:val="000000" w:themeColor="text1"/>
          <w:szCs w:val="24"/>
        </w:rPr>
      </w:pPr>
      <w:r>
        <w:rPr>
          <w:color w:val="000000" w:themeColor="text1"/>
          <w:szCs w:val="24"/>
        </w:rPr>
        <w:t>年月日年月日</w:t>
      </w:r>
    </w:p>
    <w:p w14:paraId="5B064313">
      <w:pPr>
        <w:ind w:firstLine="198" w:firstLineChars="71"/>
        <w:rPr>
          <w:b/>
          <w:bCs/>
          <w:color w:val="000000" w:themeColor="text1"/>
          <w:szCs w:val="24"/>
        </w:rPr>
      </w:pPr>
      <w:r>
        <w:rPr>
          <w:color w:val="000000" w:themeColor="text1"/>
          <w:sz w:val="28"/>
          <w:szCs w:val="28"/>
        </w:rPr>
        <w:br w:type="page"/>
      </w:r>
      <w:bookmarkStart w:id="383" w:name="_Toc508615714"/>
      <w:bookmarkStart w:id="384" w:name="_Toc29678"/>
      <w:bookmarkStart w:id="385" w:name="_Toc1709"/>
      <w:r>
        <w:rPr>
          <w:b/>
          <w:bCs/>
          <w:color w:val="000000" w:themeColor="text1"/>
          <w:szCs w:val="24"/>
        </w:rPr>
        <w:t>附件三：安全生产合同</w:t>
      </w:r>
      <w:bookmarkEnd w:id="383"/>
      <w:bookmarkEnd w:id="384"/>
      <w:bookmarkEnd w:id="385"/>
    </w:p>
    <w:p w14:paraId="0815098A">
      <w:pPr>
        <w:spacing w:line="440" w:lineRule="exact"/>
        <w:ind w:firstLine="480"/>
        <w:jc w:val="center"/>
        <w:rPr>
          <w:color w:val="000000" w:themeColor="text1"/>
          <w:szCs w:val="24"/>
        </w:rPr>
      </w:pPr>
      <w:r>
        <w:rPr>
          <w:color w:val="000000" w:themeColor="text1"/>
          <w:szCs w:val="24"/>
        </w:rPr>
        <w:t>安全生产合同</w:t>
      </w:r>
    </w:p>
    <w:p w14:paraId="1DE3C9BB">
      <w:pPr>
        <w:spacing w:line="440" w:lineRule="exact"/>
        <w:ind w:firstLine="480"/>
        <w:rPr>
          <w:bCs/>
          <w:color w:val="000000" w:themeColor="text1"/>
          <w:szCs w:val="24"/>
        </w:rPr>
      </w:pPr>
      <w:r>
        <w:rPr>
          <w:bCs/>
          <w:color w:val="000000" w:themeColor="text1"/>
          <w:szCs w:val="24"/>
        </w:rPr>
        <w:t>为在（项目名称）标段合同的实施过程中创造安全、高效的施工环境，切实搞好本项目的安全管理工作，本项目发包人（发包人名称，以下简称“发包人”）与承包人（承包人名称，以下简称“承包人”）特此签订安全生产合同：</w:t>
      </w:r>
    </w:p>
    <w:p w14:paraId="2571D537">
      <w:pPr>
        <w:spacing w:line="440" w:lineRule="exact"/>
        <w:ind w:firstLine="480"/>
        <w:rPr>
          <w:bCs/>
          <w:color w:val="000000" w:themeColor="text1"/>
          <w:szCs w:val="24"/>
        </w:rPr>
      </w:pPr>
      <w:r>
        <w:rPr>
          <w:bCs/>
          <w:color w:val="000000" w:themeColor="text1"/>
          <w:szCs w:val="24"/>
        </w:rPr>
        <w:t>1．发包人职责</w:t>
      </w:r>
    </w:p>
    <w:p w14:paraId="51716D96">
      <w:pPr>
        <w:spacing w:line="440" w:lineRule="exact"/>
        <w:ind w:firstLine="480"/>
        <w:rPr>
          <w:bCs/>
          <w:color w:val="000000" w:themeColor="text1"/>
          <w:szCs w:val="24"/>
        </w:rPr>
      </w:pPr>
      <w:r>
        <w:rPr>
          <w:bCs/>
          <w:color w:val="000000" w:themeColor="text1"/>
          <w:szCs w:val="24"/>
        </w:rPr>
        <w:t>（1）严格遵守国家有关安全生产的法律法规，认真执行工程承包合同中的有关安全要求。</w:t>
      </w:r>
    </w:p>
    <w:p w14:paraId="71610FED">
      <w:pPr>
        <w:spacing w:line="440" w:lineRule="exact"/>
        <w:ind w:firstLine="480"/>
        <w:rPr>
          <w:bCs/>
          <w:color w:val="000000" w:themeColor="text1"/>
          <w:szCs w:val="24"/>
        </w:rPr>
      </w:pPr>
      <w:r>
        <w:rPr>
          <w:bCs/>
          <w:color w:val="000000" w:themeColor="text1"/>
          <w:szCs w:val="24"/>
        </w:rPr>
        <w:t>（2）按照“安全第一、预防为主”和坚持“管生产必须管安全”的原则进行安全生产管理，做到生产与安全工作同时计划、布置、检查、总结和评比。</w:t>
      </w:r>
    </w:p>
    <w:p w14:paraId="15196797">
      <w:pPr>
        <w:spacing w:line="440" w:lineRule="exact"/>
        <w:ind w:left="359" w:leftChars="171" w:firstLine="105" w:firstLineChars="50"/>
        <w:rPr>
          <w:bCs/>
          <w:color w:val="000000" w:themeColor="text1"/>
          <w:szCs w:val="24"/>
        </w:rPr>
      </w:pPr>
      <w:r>
        <w:rPr>
          <w:bCs/>
          <w:color w:val="000000" w:themeColor="text1"/>
          <w:szCs w:val="24"/>
        </w:rPr>
        <w:t>（3）重要的安全设施必须坚持与主体工程“三同时”的原则，即：同时设计、审批，同时施工，同时验收，投入使用。</w:t>
      </w:r>
    </w:p>
    <w:p w14:paraId="5F09E748">
      <w:pPr>
        <w:spacing w:line="440" w:lineRule="exact"/>
        <w:ind w:firstLine="480"/>
        <w:rPr>
          <w:bCs/>
          <w:color w:val="000000" w:themeColor="text1"/>
          <w:szCs w:val="24"/>
        </w:rPr>
      </w:pPr>
      <w:r>
        <w:rPr>
          <w:bCs/>
          <w:color w:val="000000" w:themeColor="text1"/>
          <w:szCs w:val="24"/>
        </w:rPr>
        <w:t>（4）定期召开安全生产调度会，及时传达中央及地方有关安全生产的精神。</w:t>
      </w:r>
    </w:p>
    <w:p w14:paraId="420DB632">
      <w:pPr>
        <w:spacing w:line="440" w:lineRule="exact"/>
        <w:ind w:firstLine="480"/>
        <w:rPr>
          <w:bCs/>
          <w:color w:val="000000" w:themeColor="text1"/>
          <w:szCs w:val="24"/>
        </w:rPr>
      </w:pPr>
      <w:r>
        <w:rPr>
          <w:bCs/>
          <w:color w:val="000000" w:themeColor="text1"/>
          <w:szCs w:val="24"/>
        </w:rPr>
        <w:t>（5）组织对承包人施工现场进行安全生产检查，监督承包人及时处理发现的各种安全隐患。</w:t>
      </w:r>
    </w:p>
    <w:p w14:paraId="08E80660">
      <w:pPr>
        <w:spacing w:line="440" w:lineRule="exact"/>
        <w:ind w:firstLine="480"/>
        <w:rPr>
          <w:bCs/>
          <w:color w:val="000000" w:themeColor="text1"/>
          <w:szCs w:val="24"/>
        </w:rPr>
      </w:pPr>
      <w:r>
        <w:rPr>
          <w:bCs/>
          <w:color w:val="000000" w:themeColor="text1"/>
          <w:szCs w:val="24"/>
        </w:rPr>
        <w:t>2．承包人职责</w:t>
      </w:r>
    </w:p>
    <w:p w14:paraId="07399DCD">
      <w:pPr>
        <w:spacing w:line="440" w:lineRule="exact"/>
        <w:ind w:firstLine="480"/>
        <w:rPr>
          <w:bCs/>
          <w:color w:val="000000" w:themeColor="text1"/>
          <w:szCs w:val="24"/>
        </w:rPr>
      </w:pPr>
      <w:r>
        <w:rPr>
          <w:bCs/>
          <w:color w:val="000000" w:themeColor="text1"/>
          <w:szCs w:val="24"/>
        </w:rPr>
        <w:t>（1）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14:paraId="760864F1">
      <w:pPr>
        <w:spacing w:line="440" w:lineRule="exact"/>
        <w:ind w:firstLine="480"/>
        <w:rPr>
          <w:bCs/>
          <w:color w:val="000000" w:themeColor="text1"/>
          <w:szCs w:val="24"/>
        </w:rPr>
      </w:pPr>
      <w:r>
        <w:rPr>
          <w:bCs/>
          <w:color w:val="000000" w:themeColor="text1"/>
          <w:szCs w:val="24"/>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1E406889">
      <w:pPr>
        <w:spacing w:line="440" w:lineRule="exact"/>
        <w:ind w:firstLine="480"/>
        <w:rPr>
          <w:bCs/>
          <w:color w:val="000000" w:themeColor="text1"/>
          <w:szCs w:val="24"/>
        </w:rPr>
      </w:pPr>
      <w:r>
        <w:rPr>
          <w:bCs/>
          <w:color w:val="000000" w:themeColor="text1"/>
          <w:szCs w:val="24"/>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423811E6">
      <w:pPr>
        <w:spacing w:line="440" w:lineRule="exact"/>
        <w:ind w:firstLine="315" w:firstLineChars="150"/>
        <w:rPr>
          <w:bCs/>
          <w:color w:val="000000" w:themeColor="text1"/>
          <w:szCs w:val="24"/>
        </w:rPr>
      </w:pPr>
      <w:r>
        <w:rPr>
          <w:bCs/>
          <w:color w:val="000000" w:themeColor="text1"/>
          <w:szCs w:val="24"/>
        </w:rPr>
        <w:t>（4）承包人在任何时候都应采取各种合理的预防措施，防止其员工发生任何违法、违禁、暴力或妨碍治安的行为。</w:t>
      </w:r>
    </w:p>
    <w:p w14:paraId="558F333E">
      <w:pPr>
        <w:spacing w:line="440" w:lineRule="exact"/>
        <w:ind w:firstLine="315" w:firstLineChars="150"/>
        <w:rPr>
          <w:bCs/>
          <w:color w:val="000000" w:themeColor="text1"/>
          <w:szCs w:val="24"/>
        </w:rPr>
      </w:pPr>
      <w:r>
        <w:rPr>
          <w:bCs/>
          <w:color w:val="000000" w:themeColor="text1"/>
          <w:szCs w:val="24"/>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B65C97D">
      <w:pPr>
        <w:spacing w:line="440" w:lineRule="exact"/>
        <w:ind w:firstLine="315" w:firstLineChars="150"/>
        <w:rPr>
          <w:bCs/>
          <w:color w:val="000000" w:themeColor="text1"/>
          <w:szCs w:val="24"/>
        </w:rPr>
      </w:pPr>
      <w:r>
        <w:rPr>
          <w:bCs/>
          <w:color w:val="000000" w:themeColor="text1"/>
          <w:szCs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0074CA0A">
      <w:pPr>
        <w:spacing w:line="440" w:lineRule="exact"/>
        <w:ind w:firstLine="315" w:firstLineChars="150"/>
        <w:rPr>
          <w:bCs/>
          <w:color w:val="000000" w:themeColor="text1"/>
          <w:szCs w:val="24"/>
        </w:rPr>
      </w:pPr>
      <w:r>
        <w:rPr>
          <w:bCs/>
          <w:color w:val="000000" w:themeColor="text1"/>
          <w:szCs w:val="24"/>
        </w:rPr>
        <w:t>（7）操作人员上岗，必须按规定穿戴防护用品。施工负责人和安全检查员应随时检查劳动防护用品的穿戴情况，不按规定穿戴防护用品的人员不得上岗。</w:t>
      </w:r>
    </w:p>
    <w:p w14:paraId="73ECC989">
      <w:pPr>
        <w:spacing w:line="440" w:lineRule="exact"/>
        <w:ind w:firstLine="315" w:firstLineChars="150"/>
        <w:rPr>
          <w:bCs/>
          <w:color w:val="000000" w:themeColor="text1"/>
          <w:szCs w:val="24"/>
        </w:rPr>
      </w:pPr>
      <w:r>
        <w:rPr>
          <w:bCs/>
          <w:color w:val="000000" w:themeColor="text1"/>
          <w:szCs w:val="24"/>
        </w:rPr>
        <w:t>（8）所有施工机具设备和高空作业的设备均应定期检查，并有安全员的签字记录，保证其经常处于完好状态；不合格的机具、设备和劳动保护用品严禁使用。</w:t>
      </w:r>
    </w:p>
    <w:p w14:paraId="5353CC7E">
      <w:pPr>
        <w:spacing w:line="440" w:lineRule="exact"/>
        <w:ind w:firstLine="315" w:firstLineChars="150"/>
        <w:rPr>
          <w:bCs/>
          <w:color w:val="000000" w:themeColor="text1"/>
          <w:szCs w:val="24"/>
        </w:rPr>
      </w:pPr>
      <w:r>
        <w:rPr>
          <w:bCs/>
          <w:color w:val="000000" w:themeColor="text1"/>
          <w:szCs w:val="24"/>
        </w:rPr>
        <w:t>（9）施工中采用新技术、新工艺、新设备、新材料时，必须制定相应的安全技术措施，施工现场必须具有相关的安全标志牌。</w:t>
      </w:r>
    </w:p>
    <w:p w14:paraId="21A626F8">
      <w:pPr>
        <w:spacing w:line="440" w:lineRule="exact"/>
        <w:ind w:firstLine="315" w:firstLineChars="150"/>
        <w:rPr>
          <w:bCs/>
          <w:color w:val="000000" w:themeColor="text1"/>
          <w:szCs w:val="24"/>
        </w:rPr>
      </w:pPr>
      <w:r>
        <w:rPr>
          <w:bCs/>
          <w:color w:val="000000" w:themeColor="text1"/>
          <w:szCs w:val="24"/>
        </w:rPr>
        <w:t>（10）承包人必须按照本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1DB17AD6">
      <w:pPr>
        <w:spacing w:line="440" w:lineRule="exact"/>
        <w:ind w:firstLine="315" w:firstLineChars="150"/>
        <w:rPr>
          <w:bCs/>
          <w:color w:val="000000" w:themeColor="text1"/>
          <w:szCs w:val="24"/>
        </w:rPr>
      </w:pPr>
      <w:r>
        <w:rPr>
          <w:bCs/>
          <w:color w:val="000000" w:themeColor="text1"/>
          <w:szCs w:val="24"/>
        </w:rPr>
        <w:t>（11）安全生产费用按照《公路水运工程安全生产监督管理办法》的相关规定使用和管理。</w:t>
      </w:r>
    </w:p>
    <w:p w14:paraId="454DEDC4">
      <w:pPr>
        <w:spacing w:line="440" w:lineRule="exact"/>
        <w:ind w:firstLine="525" w:firstLineChars="250"/>
        <w:rPr>
          <w:bCs/>
          <w:color w:val="000000" w:themeColor="text1"/>
          <w:szCs w:val="24"/>
        </w:rPr>
      </w:pPr>
      <w:r>
        <w:rPr>
          <w:bCs/>
          <w:color w:val="000000" w:themeColor="text1"/>
          <w:szCs w:val="24"/>
        </w:rPr>
        <w:t>3．违约责任</w:t>
      </w:r>
    </w:p>
    <w:p w14:paraId="5C52BE4F">
      <w:pPr>
        <w:spacing w:line="440" w:lineRule="exact"/>
        <w:ind w:firstLine="525" w:firstLineChars="250"/>
        <w:rPr>
          <w:bCs/>
          <w:color w:val="000000" w:themeColor="text1"/>
          <w:szCs w:val="24"/>
        </w:rPr>
      </w:pPr>
      <w:r>
        <w:rPr>
          <w:bCs/>
          <w:color w:val="000000" w:themeColor="text1"/>
          <w:szCs w:val="24"/>
        </w:rPr>
        <w:t>如因发包人或承包人违约造成安全事故，将依法追究责任。</w:t>
      </w:r>
    </w:p>
    <w:p w14:paraId="619E724C">
      <w:pPr>
        <w:spacing w:line="440" w:lineRule="exact"/>
        <w:ind w:firstLine="525" w:firstLineChars="250"/>
        <w:rPr>
          <w:bCs/>
          <w:color w:val="000000" w:themeColor="text1"/>
          <w:szCs w:val="24"/>
        </w:rPr>
      </w:pPr>
      <w:r>
        <w:rPr>
          <w:bCs/>
          <w:color w:val="000000" w:themeColor="text1"/>
          <w:szCs w:val="24"/>
        </w:rPr>
        <w:t>4．本合同由双方法定代表人或其授权的代理人签署并加盖单位章后生效，全部工程</w:t>
      </w:r>
      <w:r>
        <w:rPr>
          <w:rFonts w:hint="eastAsia"/>
          <w:bCs/>
          <w:color w:val="000000" w:themeColor="text1"/>
          <w:szCs w:val="24"/>
        </w:rPr>
        <w:t>交</w:t>
      </w:r>
      <w:r>
        <w:rPr>
          <w:bCs/>
          <w:color w:val="000000" w:themeColor="text1"/>
          <w:szCs w:val="24"/>
        </w:rPr>
        <w:t>工验收后失效。</w:t>
      </w:r>
    </w:p>
    <w:p w14:paraId="43BDB738">
      <w:pPr>
        <w:spacing w:line="440" w:lineRule="exact"/>
        <w:ind w:firstLine="525" w:firstLineChars="250"/>
        <w:rPr>
          <w:bCs/>
          <w:color w:val="000000" w:themeColor="text1"/>
          <w:szCs w:val="24"/>
        </w:rPr>
      </w:pPr>
      <w:r>
        <w:rPr>
          <w:bCs/>
          <w:color w:val="000000" w:themeColor="text1"/>
          <w:szCs w:val="24"/>
        </w:rPr>
        <w:t>5．本合同正本二份、副本</w:t>
      </w:r>
      <w:r>
        <w:rPr>
          <w:rFonts w:hint="eastAsia"/>
          <w:bCs/>
          <w:color w:val="000000" w:themeColor="text1"/>
          <w:szCs w:val="24"/>
          <w:u w:val="single"/>
        </w:rPr>
        <w:t>四</w:t>
      </w:r>
      <w:r>
        <w:rPr>
          <w:bCs/>
          <w:color w:val="000000" w:themeColor="text1"/>
          <w:szCs w:val="24"/>
        </w:rPr>
        <w:t>份，</w:t>
      </w:r>
      <w:r>
        <w:rPr>
          <w:rFonts w:hint="eastAsia"/>
          <w:bCs/>
          <w:color w:val="000000" w:themeColor="text1"/>
          <w:szCs w:val="24"/>
        </w:rPr>
        <w:t>合同双方各执正本一份，副本甲方三份，乙方一份。</w:t>
      </w:r>
      <w:r>
        <w:rPr>
          <w:bCs/>
          <w:color w:val="000000" w:themeColor="text1"/>
          <w:szCs w:val="24"/>
        </w:rPr>
        <w:t>当正本与副本的内容不一致时，以正本为准。</w:t>
      </w:r>
    </w:p>
    <w:p w14:paraId="43072EC0">
      <w:pPr>
        <w:spacing w:line="440" w:lineRule="exact"/>
        <w:rPr>
          <w:bCs/>
          <w:color w:val="000000" w:themeColor="text1"/>
          <w:szCs w:val="24"/>
        </w:rPr>
      </w:pPr>
    </w:p>
    <w:p w14:paraId="166C0CE2">
      <w:pPr>
        <w:spacing w:line="440" w:lineRule="exact"/>
        <w:jc w:val="left"/>
        <w:rPr>
          <w:bCs/>
          <w:color w:val="000000" w:themeColor="text1"/>
          <w:szCs w:val="24"/>
        </w:rPr>
      </w:pPr>
      <w:r>
        <w:rPr>
          <w:bCs/>
          <w:color w:val="000000" w:themeColor="text1"/>
          <w:szCs w:val="24"/>
        </w:rPr>
        <w:t>发包人：（盖章单位）承包人：（盖章单位）</w:t>
      </w:r>
    </w:p>
    <w:p w14:paraId="352337F2">
      <w:pPr>
        <w:spacing w:line="440" w:lineRule="exact"/>
        <w:jc w:val="left"/>
        <w:rPr>
          <w:bCs/>
          <w:color w:val="000000" w:themeColor="text1"/>
          <w:szCs w:val="24"/>
        </w:rPr>
      </w:pPr>
      <w:r>
        <w:rPr>
          <w:bCs/>
          <w:color w:val="000000" w:themeColor="text1"/>
          <w:szCs w:val="24"/>
        </w:rPr>
        <w:t>法定代表人法定代表人</w:t>
      </w:r>
    </w:p>
    <w:p w14:paraId="6D5D71FD">
      <w:pPr>
        <w:spacing w:line="440" w:lineRule="exact"/>
        <w:jc w:val="left"/>
        <w:rPr>
          <w:bCs/>
          <w:color w:val="000000" w:themeColor="text1"/>
          <w:szCs w:val="24"/>
        </w:rPr>
      </w:pPr>
      <w:r>
        <w:rPr>
          <w:bCs/>
          <w:color w:val="000000" w:themeColor="text1"/>
          <w:szCs w:val="24"/>
        </w:rPr>
        <w:t>或其委托代理人：（签字）或其委托代理人：（签字）</w:t>
      </w:r>
    </w:p>
    <w:p w14:paraId="7245EA7C">
      <w:pPr>
        <w:spacing w:line="440" w:lineRule="exact"/>
        <w:ind w:firstLine="1890" w:firstLineChars="900"/>
        <w:jc w:val="left"/>
        <w:rPr>
          <w:b/>
          <w:bCs/>
          <w:color w:val="000000" w:themeColor="text1"/>
          <w:sz w:val="24"/>
          <w:szCs w:val="24"/>
        </w:rPr>
      </w:pPr>
      <w:r>
        <w:rPr>
          <w:color w:val="000000" w:themeColor="text1"/>
          <w:szCs w:val="24"/>
        </w:rPr>
        <w:t>年月日年月日</w:t>
      </w:r>
      <w:r>
        <w:rPr>
          <w:b/>
          <w:bCs/>
          <w:color w:val="000000" w:themeColor="text1"/>
          <w:sz w:val="24"/>
          <w:szCs w:val="24"/>
        </w:rPr>
        <w:br w:type="page"/>
      </w:r>
    </w:p>
    <w:p w14:paraId="1FB8FB4E">
      <w:pPr>
        <w:pStyle w:val="2"/>
        <w:spacing w:before="0" w:after="0" w:line="380" w:lineRule="atLeast"/>
        <w:rPr>
          <w:b w:val="0"/>
          <w:color w:val="000000" w:themeColor="text1"/>
          <w:sz w:val="24"/>
          <w:szCs w:val="24"/>
        </w:rPr>
      </w:pPr>
      <w:bookmarkStart w:id="386" w:name="_Toc234833236"/>
      <w:bookmarkStart w:id="387" w:name="_Toc21753"/>
      <w:bookmarkStart w:id="388" w:name="_Toc517787858"/>
      <w:r>
        <w:rPr>
          <w:b w:val="0"/>
          <w:color w:val="000000" w:themeColor="text1"/>
          <w:sz w:val="24"/>
          <w:szCs w:val="24"/>
        </w:rPr>
        <w:t>附件</w:t>
      </w:r>
      <w:r>
        <w:rPr>
          <w:rFonts w:hint="eastAsia"/>
          <w:b w:val="0"/>
          <w:color w:val="000000" w:themeColor="text1"/>
          <w:sz w:val="24"/>
          <w:szCs w:val="24"/>
        </w:rPr>
        <w:t xml:space="preserve">四 </w:t>
      </w:r>
      <w:r>
        <w:rPr>
          <w:b w:val="0"/>
          <w:color w:val="000000" w:themeColor="text1"/>
          <w:sz w:val="24"/>
          <w:szCs w:val="24"/>
        </w:rPr>
        <w:t>项目经理委任书</w:t>
      </w:r>
      <w:bookmarkEnd w:id="386"/>
      <w:bookmarkEnd w:id="387"/>
      <w:bookmarkEnd w:id="388"/>
    </w:p>
    <w:p w14:paraId="5D04C5C9">
      <w:pPr>
        <w:snapToGrid w:val="0"/>
        <w:spacing w:line="400" w:lineRule="atLeast"/>
        <w:jc w:val="center"/>
        <w:rPr>
          <w:color w:val="000000" w:themeColor="text1"/>
          <w:sz w:val="28"/>
          <w:szCs w:val="28"/>
          <w:u w:val="single"/>
        </w:rPr>
      </w:pPr>
      <w:r>
        <w:rPr>
          <w:color w:val="000000" w:themeColor="text1"/>
          <w:sz w:val="28"/>
          <w:szCs w:val="28"/>
          <w:u w:val="single"/>
        </w:rPr>
        <w:t>（承包人全称）</w:t>
      </w:r>
    </w:p>
    <w:p w14:paraId="02E8BFF7">
      <w:pPr>
        <w:snapToGrid w:val="0"/>
        <w:spacing w:line="400" w:lineRule="atLeast"/>
        <w:jc w:val="center"/>
        <w:rPr>
          <w:color w:val="000000" w:themeColor="text1"/>
          <w:sz w:val="28"/>
          <w:szCs w:val="28"/>
        </w:rPr>
      </w:pPr>
      <w:r>
        <w:rPr>
          <w:color w:val="000000" w:themeColor="text1"/>
          <w:sz w:val="28"/>
          <w:szCs w:val="28"/>
          <w:u w:val="single"/>
        </w:rPr>
        <w:t>（合同工程名称）</w:t>
      </w:r>
      <w:r>
        <w:rPr>
          <w:color w:val="000000" w:themeColor="text1"/>
          <w:sz w:val="28"/>
          <w:szCs w:val="28"/>
        </w:rPr>
        <w:t>项目经理委任书</w:t>
      </w:r>
    </w:p>
    <w:p w14:paraId="1ED7E20E">
      <w:pPr>
        <w:snapToGrid w:val="0"/>
        <w:spacing w:line="400" w:lineRule="atLeast"/>
        <w:rPr>
          <w:color w:val="000000" w:themeColor="text1"/>
          <w:sz w:val="24"/>
        </w:rPr>
      </w:pPr>
    </w:p>
    <w:p w14:paraId="40AC3A96">
      <w:pPr>
        <w:snapToGrid w:val="0"/>
        <w:spacing w:line="400" w:lineRule="atLeast"/>
        <w:rPr>
          <w:color w:val="000000" w:themeColor="text1"/>
          <w:sz w:val="24"/>
        </w:rPr>
      </w:pPr>
    </w:p>
    <w:p w14:paraId="66478A92">
      <w:pPr>
        <w:spacing w:line="400" w:lineRule="atLeast"/>
        <w:rPr>
          <w:color w:val="000000" w:themeColor="text1"/>
          <w:sz w:val="24"/>
        </w:rPr>
      </w:pPr>
      <w:r>
        <w:rPr>
          <w:color w:val="000000" w:themeColor="text1"/>
          <w:sz w:val="24"/>
        </w:rPr>
        <w:t>致：</w:t>
      </w:r>
      <w:r>
        <w:rPr>
          <w:color w:val="000000" w:themeColor="text1"/>
          <w:sz w:val="24"/>
          <w:u w:val="single"/>
        </w:rPr>
        <w:t>（发包人全称）</w:t>
      </w:r>
    </w:p>
    <w:p w14:paraId="2DDA4729">
      <w:pPr>
        <w:spacing w:line="400" w:lineRule="atLeast"/>
        <w:ind w:firstLine="616" w:firstLineChars="257"/>
        <w:rPr>
          <w:color w:val="000000" w:themeColor="text1"/>
          <w:sz w:val="24"/>
        </w:rPr>
      </w:pPr>
      <w:r>
        <w:rPr>
          <w:color w:val="000000" w:themeColor="text1"/>
          <w:sz w:val="24"/>
          <w:u w:val="single"/>
        </w:rPr>
        <w:t>（承包人全称）</w:t>
      </w:r>
      <w:r>
        <w:rPr>
          <w:color w:val="000000" w:themeColor="text1"/>
          <w:sz w:val="24"/>
        </w:rPr>
        <w:t>法定代表人</w:t>
      </w:r>
      <w:r>
        <w:rPr>
          <w:color w:val="000000" w:themeColor="text1"/>
          <w:sz w:val="24"/>
          <w:u w:val="single"/>
        </w:rPr>
        <w:t>（职务、姓名）</w:t>
      </w:r>
      <w:r>
        <w:rPr>
          <w:color w:val="000000" w:themeColor="text1"/>
          <w:sz w:val="24"/>
        </w:rPr>
        <w:t>代表本单位委任</w:t>
      </w:r>
      <w:r>
        <w:rPr>
          <w:color w:val="000000" w:themeColor="text1"/>
          <w:sz w:val="24"/>
          <w:u w:val="single"/>
        </w:rPr>
        <w:t>（职务、姓名）</w:t>
      </w:r>
      <w:r>
        <w:rPr>
          <w:color w:val="000000" w:themeColor="text1"/>
          <w:sz w:val="24"/>
        </w:rPr>
        <w:t>为</w:t>
      </w:r>
      <w:r>
        <w:rPr>
          <w:color w:val="000000" w:themeColor="text1"/>
          <w:sz w:val="24"/>
          <w:u w:val="single"/>
        </w:rPr>
        <w:t>（合同工程名称）</w:t>
      </w:r>
      <w:r>
        <w:rPr>
          <w:color w:val="000000" w:themeColor="text1"/>
          <w:sz w:val="24"/>
        </w:rPr>
        <w:t>的项目经理。凡本合同执行中的有关技术、工程进度、现场管理、质量检验、结算与支付等方面工作，由</w:t>
      </w:r>
      <w:r>
        <w:rPr>
          <w:color w:val="000000" w:themeColor="text1"/>
          <w:sz w:val="24"/>
          <w:u w:val="single"/>
        </w:rPr>
        <w:t>（姓名）</w:t>
      </w:r>
      <w:r>
        <w:rPr>
          <w:color w:val="000000" w:themeColor="text1"/>
          <w:sz w:val="24"/>
        </w:rPr>
        <w:t>代表本单位全面负责。</w:t>
      </w:r>
    </w:p>
    <w:p w14:paraId="15BE8446">
      <w:pPr>
        <w:spacing w:line="400" w:lineRule="atLeast"/>
        <w:ind w:firstLine="616" w:firstLineChars="257"/>
        <w:rPr>
          <w:color w:val="000000" w:themeColor="text1"/>
          <w:sz w:val="24"/>
        </w:rPr>
      </w:pPr>
    </w:p>
    <w:p w14:paraId="12287A24">
      <w:pPr>
        <w:snapToGrid w:val="0"/>
        <w:spacing w:line="400" w:lineRule="atLeast"/>
        <w:rPr>
          <w:color w:val="000000" w:themeColor="text1"/>
          <w:sz w:val="24"/>
        </w:rPr>
      </w:pPr>
      <w:r>
        <w:rPr>
          <w:color w:val="000000" w:themeColor="text1"/>
          <w:sz w:val="24"/>
        </w:rPr>
        <w:t>承包人：（盖单位章）</w:t>
      </w:r>
    </w:p>
    <w:p w14:paraId="027DC9AE">
      <w:pPr>
        <w:snapToGrid w:val="0"/>
        <w:spacing w:line="400" w:lineRule="atLeast"/>
        <w:ind w:firstLine="4603" w:firstLineChars="1918"/>
        <w:jc w:val="left"/>
        <w:rPr>
          <w:color w:val="000000" w:themeColor="text1"/>
          <w:sz w:val="24"/>
          <w:u w:val="single"/>
        </w:rPr>
      </w:pPr>
      <w:r>
        <w:rPr>
          <w:color w:val="000000" w:themeColor="text1"/>
          <w:sz w:val="24"/>
        </w:rPr>
        <w:t>法定代表人：</w:t>
      </w:r>
      <w:r>
        <w:rPr>
          <w:color w:val="000000" w:themeColor="text1"/>
          <w:sz w:val="24"/>
          <w:u w:val="single"/>
        </w:rPr>
        <w:t>（职务）</w:t>
      </w:r>
    </w:p>
    <w:p w14:paraId="7428D9EF">
      <w:pPr>
        <w:snapToGrid w:val="0"/>
        <w:spacing w:line="400" w:lineRule="atLeast"/>
        <w:rPr>
          <w:color w:val="000000" w:themeColor="text1"/>
          <w:sz w:val="24"/>
          <w:u w:val="single"/>
        </w:rPr>
      </w:pPr>
      <w:r>
        <w:rPr>
          <w:color w:val="000000" w:themeColor="text1"/>
          <w:sz w:val="24"/>
          <w:u w:val="single"/>
        </w:rPr>
        <w:t>（姓名）</w:t>
      </w:r>
    </w:p>
    <w:p w14:paraId="27DCA9F3">
      <w:pPr>
        <w:snapToGrid w:val="0"/>
        <w:spacing w:line="400" w:lineRule="atLeast"/>
        <w:rPr>
          <w:color w:val="000000" w:themeColor="text1"/>
          <w:sz w:val="24"/>
          <w:u w:val="single"/>
        </w:rPr>
      </w:pPr>
      <w:r>
        <w:rPr>
          <w:color w:val="000000" w:themeColor="text1"/>
          <w:sz w:val="24"/>
          <w:u w:val="single"/>
        </w:rPr>
        <w:t>（签字）</w:t>
      </w:r>
    </w:p>
    <w:p w14:paraId="0BB97FD7">
      <w:pPr>
        <w:snapToGrid w:val="0"/>
        <w:spacing w:line="400" w:lineRule="atLeast"/>
        <w:rPr>
          <w:color w:val="000000" w:themeColor="text1"/>
          <w:sz w:val="24"/>
        </w:rPr>
      </w:pPr>
      <w:r>
        <w:rPr>
          <w:color w:val="000000" w:themeColor="text1"/>
          <w:sz w:val="24"/>
        </w:rPr>
        <w:t>年月日</w:t>
      </w:r>
    </w:p>
    <w:p w14:paraId="3238A1D0">
      <w:pPr>
        <w:pStyle w:val="33"/>
        <w:tabs>
          <w:tab w:val="clear" w:pos="4153"/>
          <w:tab w:val="clear" w:pos="8306"/>
        </w:tabs>
        <w:spacing w:line="400" w:lineRule="atLeast"/>
        <w:rPr>
          <w:color w:val="000000" w:themeColor="text1"/>
          <w:sz w:val="24"/>
          <w:szCs w:val="24"/>
        </w:rPr>
      </w:pPr>
    </w:p>
    <w:p w14:paraId="05809F51">
      <w:pPr>
        <w:pStyle w:val="33"/>
        <w:tabs>
          <w:tab w:val="clear" w:pos="4153"/>
          <w:tab w:val="clear" w:pos="8306"/>
        </w:tabs>
        <w:spacing w:line="400" w:lineRule="atLeast"/>
        <w:rPr>
          <w:color w:val="000000" w:themeColor="text1"/>
          <w:sz w:val="24"/>
          <w:szCs w:val="24"/>
        </w:rPr>
      </w:pPr>
    </w:p>
    <w:p w14:paraId="01340C98">
      <w:pPr>
        <w:snapToGrid w:val="0"/>
        <w:spacing w:line="400" w:lineRule="atLeast"/>
        <w:rPr>
          <w:color w:val="000000" w:themeColor="text1"/>
          <w:sz w:val="24"/>
        </w:rPr>
      </w:pPr>
    </w:p>
    <w:p w14:paraId="28130692">
      <w:pPr>
        <w:snapToGrid w:val="0"/>
        <w:spacing w:line="400" w:lineRule="atLeast"/>
        <w:rPr>
          <w:color w:val="000000" w:themeColor="text1"/>
          <w:sz w:val="24"/>
          <w:u w:val="single"/>
        </w:rPr>
      </w:pPr>
      <w:r>
        <w:rPr>
          <w:color w:val="000000" w:themeColor="text1"/>
          <w:sz w:val="24"/>
        </w:rPr>
        <w:t>抄送：</w:t>
      </w:r>
      <w:r>
        <w:rPr>
          <w:color w:val="000000" w:themeColor="text1"/>
          <w:sz w:val="24"/>
          <w:u w:val="single"/>
        </w:rPr>
        <w:t>（监理人）</w:t>
      </w:r>
    </w:p>
    <w:p w14:paraId="082B5665">
      <w:pPr>
        <w:snapToGrid w:val="0"/>
        <w:spacing w:line="400" w:lineRule="atLeast"/>
        <w:rPr>
          <w:color w:val="000000" w:themeColor="text1"/>
          <w:sz w:val="24"/>
          <w:u w:val="single"/>
        </w:rPr>
      </w:pPr>
    </w:p>
    <w:p w14:paraId="43BF7F87">
      <w:pPr>
        <w:snapToGrid w:val="0"/>
        <w:spacing w:line="400" w:lineRule="atLeast"/>
        <w:rPr>
          <w:color w:val="000000" w:themeColor="text1"/>
          <w:sz w:val="24"/>
          <w:u w:val="single"/>
        </w:rPr>
      </w:pPr>
      <w:r>
        <w:rPr>
          <w:color w:val="000000" w:themeColor="text1"/>
          <w:sz w:val="24"/>
          <w:u w:val="single"/>
        </w:rPr>
        <w:br w:type="page"/>
      </w:r>
    </w:p>
    <w:p w14:paraId="4BF22A45">
      <w:pPr>
        <w:snapToGrid w:val="0"/>
        <w:spacing w:line="400" w:lineRule="atLeast"/>
        <w:rPr>
          <w:bCs/>
          <w:color w:val="000000" w:themeColor="text1"/>
          <w:kern w:val="44"/>
          <w:sz w:val="24"/>
        </w:rPr>
      </w:pPr>
      <w:r>
        <w:rPr>
          <w:bCs/>
          <w:color w:val="000000" w:themeColor="text1"/>
          <w:kern w:val="44"/>
          <w:sz w:val="24"/>
        </w:rPr>
        <w:t>附件</w:t>
      </w:r>
      <w:r>
        <w:rPr>
          <w:rFonts w:hint="eastAsia"/>
          <w:bCs/>
          <w:color w:val="000000" w:themeColor="text1"/>
          <w:kern w:val="44"/>
          <w:sz w:val="24"/>
        </w:rPr>
        <w:t>五</w:t>
      </w:r>
      <w:r>
        <w:rPr>
          <w:bCs/>
          <w:color w:val="000000" w:themeColor="text1"/>
          <w:kern w:val="44"/>
          <w:sz w:val="24"/>
        </w:rPr>
        <w:t>履约保证金格式</w:t>
      </w:r>
    </w:p>
    <w:p w14:paraId="3EFFD47A">
      <w:pPr>
        <w:spacing w:line="400" w:lineRule="atLeast"/>
        <w:rPr>
          <w:color w:val="000000" w:themeColor="text1"/>
          <w:sz w:val="24"/>
        </w:rPr>
      </w:pPr>
      <w:r>
        <w:rPr>
          <w:color w:val="000000" w:themeColor="text1"/>
          <w:sz w:val="24"/>
        </w:rPr>
        <w:t>如采用银行保函，格式如下。</w:t>
      </w:r>
    </w:p>
    <w:p w14:paraId="7DE88314">
      <w:pPr>
        <w:spacing w:line="400" w:lineRule="atLeast"/>
        <w:ind w:firstLine="3360" w:firstLineChars="1200"/>
        <w:rPr>
          <w:color w:val="000000" w:themeColor="text1"/>
          <w:sz w:val="28"/>
          <w:szCs w:val="28"/>
        </w:rPr>
      </w:pPr>
    </w:p>
    <w:p w14:paraId="7BD77554">
      <w:pPr>
        <w:spacing w:line="400" w:lineRule="atLeast"/>
        <w:jc w:val="center"/>
        <w:rPr>
          <w:color w:val="000000" w:themeColor="text1"/>
          <w:sz w:val="28"/>
          <w:szCs w:val="28"/>
        </w:rPr>
      </w:pPr>
      <w:r>
        <w:rPr>
          <w:rFonts w:hint="eastAsia"/>
          <w:color w:val="000000" w:themeColor="text1"/>
          <w:sz w:val="28"/>
          <w:szCs w:val="28"/>
        </w:rPr>
        <w:t>履约</w:t>
      </w:r>
      <w:r>
        <w:rPr>
          <w:color w:val="000000" w:themeColor="text1"/>
          <w:sz w:val="28"/>
          <w:szCs w:val="28"/>
        </w:rPr>
        <w:t>保证金</w:t>
      </w:r>
    </w:p>
    <w:p w14:paraId="0CD9DFB9">
      <w:pPr>
        <w:spacing w:line="400" w:lineRule="atLeast"/>
        <w:rPr>
          <w:color w:val="000000" w:themeColor="text1"/>
          <w:sz w:val="24"/>
        </w:rPr>
      </w:pPr>
    </w:p>
    <w:p w14:paraId="68A0BEBE">
      <w:pPr>
        <w:spacing w:line="400" w:lineRule="atLeast"/>
        <w:rPr>
          <w:color w:val="000000" w:themeColor="text1"/>
          <w:sz w:val="24"/>
        </w:rPr>
      </w:pPr>
      <w:r>
        <w:rPr>
          <w:color w:val="000000" w:themeColor="text1"/>
          <w:sz w:val="24"/>
          <w:u w:val="single"/>
        </w:rPr>
        <w:tab/>
      </w:r>
      <w:r>
        <w:rPr>
          <w:color w:val="000000" w:themeColor="text1"/>
          <w:sz w:val="24"/>
          <w:u w:val="single"/>
        </w:rPr>
        <w:tab/>
      </w:r>
      <w:r>
        <w:rPr>
          <w:color w:val="000000" w:themeColor="text1"/>
          <w:sz w:val="24"/>
        </w:rPr>
        <w:t>（发包人名称）：</w:t>
      </w:r>
    </w:p>
    <w:p w14:paraId="4FBE0581">
      <w:pPr>
        <w:spacing w:line="400" w:lineRule="atLeast"/>
        <w:rPr>
          <w:color w:val="000000" w:themeColor="text1"/>
          <w:sz w:val="24"/>
        </w:rPr>
      </w:pPr>
    </w:p>
    <w:p w14:paraId="31A62019">
      <w:pPr>
        <w:spacing w:line="400" w:lineRule="atLeast"/>
        <w:ind w:firstLine="600" w:firstLineChars="250"/>
        <w:rPr>
          <w:color w:val="000000" w:themeColor="text1"/>
          <w:sz w:val="24"/>
        </w:rPr>
      </w:pPr>
      <w:r>
        <w:rPr>
          <w:color w:val="000000" w:themeColor="text1"/>
          <w:sz w:val="24"/>
        </w:rPr>
        <w:t>鉴于（发包人名称，以下简称</w:t>
      </w:r>
      <w:r>
        <w:rPr>
          <w:rFonts w:hint="eastAsia"/>
          <w:color w:val="000000" w:themeColor="text1"/>
          <w:sz w:val="24"/>
        </w:rPr>
        <w:t>“</w:t>
      </w:r>
      <w:r>
        <w:rPr>
          <w:color w:val="000000" w:themeColor="text1"/>
          <w:sz w:val="24"/>
        </w:rPr>
        <w:t>发包人</w:t>
      </w:r>
      <w:r>
        <w:rPr>
          <w:rFonts w:hint="eastAsia"/>
          <w:color w:val="000000" w:themeColor="text1"/>
          <w:sz w:val="24"/>
        </w:rPr>
        <w:t>”</w:t>
      </w:r>
      <w:r>
        <w:rPr>
          <w:color w:val="000000" w:themeColor="text1"/>
          <w:sz w:val="24"/>
        </w:rPr>
        <w:t>）接受（承包人名称</w:t>
      </w:r>
      <w:r>
        <w:rPr>
          <w:rFonts w:hint="eastAsia"/>
          <w:color w:val="000000" w:themeColor="text1"/>
          <w:sz w:val="24"/>
        </w:rPr>
        <w:t>，</w:t>
      </w:r>
      <w:r>
        <w:rPr>
          <w:color w:val="000000" w:themeColor="text1"/>
          <w:sz w:val="24"/>
        </w:rPr>
        <w:t>以下简称</w:t>
      </w:r>
      <w:r>
        <w:rPr>
          <w:rFonts w:hint="eastAsia"/>
          <w:color w:val="000000" w:themeColor="text1"/>
          <w:sz w:val="24"/>
        </w:rPr>
        <w:t>“</w:t>
      </w:r>
      <w:r>
        <w:rPr>
          <w:color w:val="000000" w:themeColor="text1"/>
          <w:sz w:val="24"/>
        </w:rPr>
        <w:t>承包人</w:t>
      </w:r>
      <w:r>
        <w:rPr>
          <w:rFonts w:hint="eastAsia"/>
          <w:color w:val="000000" w:themeColor="text1"/>
          <w:sz w:val="24"/>
        </w:rPr>
        <w:t>”</w:t>
      </w:r>
      <w:r>
        <w:rPr>
          <w:color w:val="000000" w:themeColor="text1"/>
          <w:sz w:val="24"/>
        </w:rPr>
        <w:t>）于年月日参加（项目名称）标段施工的投标。我方愿意无条件地、不可撤销地就承包人履行与你方订立的合同，向你方提供担保。</w:t>
      </w:r>
    </w:p>
    <w:p w14:paraId="15E84627">
      <w:pPr>
        <w:spacing w:line="400" w:lineRule="atLeast"/>
        <w:ind w:firstLine="480" w:firstLineChars="200"/>
        <w:rPr>
          <w:color w:val="000000" w:themeColor="text1"/>
          <w:sz w:val="24"/>
        </w:rPr>
      </w:pPr>
      <w:r>
        <w:rPr>
          <w:color w:val="000000" w:themeColor="text1"/>
          <w:sz w:val="24"/>
        </w:rPr>
        <w:t>1. 担保金额人民币（大写）</w:t>
      </w:r>
      <w:r>
        <w:rPr>
          <w:rFonts w:hint="eastAsia"/>
          <w:color w:val="000000" w:themeColor="text1"/>
          <w:sz w:val="24"/>
        </w:rPr>
        <w:t>圆</w:t>
      </w:r>
      <w:r>
        <w:rPr>
          <w:color w:val="000000" w:themeColor="text1"/>
          <w:sz w:val="24"/>
        </w:rPr>
        <w:t>（¥</w:t>
      </w:r>
      <w:r>
        <w:rPr>
          <w:rFonts w:hint="eastAsia"/>
          <w:color w:val="000000" w:themeColor="text1"/>
          <w:sz w:val="24"/>
        </w:rPr>
        <w:t>元</w:t>
      </w:r>
      <w:r>
        <w:rPr>
          <w:color w:val="000000" w:themeColor="text1"/>
          <w:sz w:val="24"/>
        </w:rPr>
        <w:t>）。</w:t>
      </w:r>
    </w:p>
    <w:p w14:paraId="2456123F">
      <w:pPr>
        <w:spacing w:line="400" w:lineRule="atLeast"/>
        <w:ind w:firstLine="480" w:firstLineChars="200"/>
        <w:rPr>
          <w:color w:val="000000" w:themeColor="text1"/>
          <w:sz w:val="24"/>
        </w:rPr>
      </w:pPr>
      <w:r>
        <w:rPr>
          <w:color w:val="000000" w:themeColor="text1"/>
          <w:sz w:val="24"/>
        </w:rPr>
        <w:t>2. 担保有效期自发包人与承包人签订的合同生效之日起至发包人签发交工验收证书</w:t>
      </w:r>
      <w:r>
        <w:rPr>
          <w:rFonts w:hint="eastAsia"/>
          <w:color w:val="000000" w:themeColor="text1"/>
          <w:sz w:val="24"/>
        </w:rPr>
        <w:t>且承包人按照合同约定缴纳质量保证金</w:t>
      </w:r>
      <w:r>
        <w:rPr>
          <w:color w:val="000000" w:themeColor="text1"/>
          <w:sz w:val="24"/>
        </w:rPr>
        <w:t>之日止。</w:t>
      </w:r>
    </w:p>
    <w:p w14:paraId="29DAC4F8">
      <w:pPr>
        <w:spacing w:line="400" w:lineRule="atLeast"/>
        <w:ind w:firstLine="480" w:firstLineChars="200"/>
        <w:rPr>
          <w:color w:val="000000" w:themeColor="text1"/>
          <w:sz w:val="24"/>
        </w:rPr>
      </w:pPr>
      <w:r>
        <w:rPr>
          <w:color w:val="000000" w:themeColor="text1"/>
          <w:sz w:val="24"/>
        </w:rPr>
        <w:t>3. 在本担保有效期内，因承包人违反合同约定的义务给你方造成经济损失时，我方在收到你方以书面形式提出的在担保金额内的赔偿要求后，在7</w:t>
      </w:r>
      <w:r>
        <w:rPr>
          <w:rFonts w:hint="eastAsia"/>
          <w:color w:val="000000" w:themeColor="text1"/>
          <w:sz w:val="24"/>
        </w:rPr>
        <w:t>日</w:t>
      </w:r>
      <w:r>
        <w:rPr>
          <w:color w:val="000000" w:themeColor="text1"/>
          <w:sz w:val="24"/>
        </w:rPr>
        <w:t>内无条件支付，无须你方出具证明或陈述理由。</w:t>
      </w:r>
    </w:p>
    <w:p w14:paraId="76B18D0A">
      <w:pPr>
        <w:spacing w:line="400" w:lineRule="atLeast"/>
        <w:ind w:firstLine="480" w:firstLineChars="200"/>
        <w:rPr>
          <w:color w:val="000000" w:themeColor="text1"/>
          <w:sz w:val="24"/>
        </w:rPr>
      </w:pPr>
      <w:r>
        <w:rPr>
          <w:color w:val="000000" w:themeColor="text1"/>
          <w:sz w:val="24"/>
        </w:rPr>
        <w:t>4. 发包人和承包人按合同条款第15条变更合同时，</w:t>
      </w:r>
      <w:r>
        <w:rPr>
          <w:rFonts w:hint="eastAsia"/>
          <w:color w:val="000000" w:themeColor="text1"/>
          <w:sz w:val="24"/>
        </w:rPr>
        <w:t>无论我方是否收到该变更，</w:t>
      </w:r>
      <w:r>
        <w:rPr>
          <w:color w:val="000000" w:themeColor="text1"/>
          <w:sz w:val="24"/>
        </w:rPr>
        <w:t>我方承担本担保规定的义务不变。</w:t>
      </w:r>
    </w:p>
    <w:p w14:paraId="1E0A9FAA">
      <w:pPr>
        <w:spacing w:line="400" w:lineRule="atLeast"/>
        <w:rPr>
          <w:color w:val="000000" w:themeColor="text1"/>
          <w:sz w:val="24"/>
        </w:rPr>
      </w:pPr>
    </w:p>
    <w:p w14:paraId="7686A3DC">
      <w:pPr>
        <w:spacing w:line="400" w:lineRule="atLeast"/>
        <w:rPr>
          <w:color w:val="000000" w:themeColor="text1"/>
          <w:sz w:val="24"/>
        </w:rPr>
      </w:pPr>
    </w:p>
    <w:p w14:paraId="780C0096">
      <w:pPr>
        <w:spacing w:line="400" w:lineRule="atLeast"/>
        <w:ind w:firstLine="3496" w:firstLineChars="1457"/>
        <w:rPr>
          <w:color w:val="000000" w:themeColor="text1"/>
          <w:sz w:val="24"/>
        </w:rPr>
      </w:pPr>
      <w:r>
        <w:rPr>
          <w:color w:val="000000" w:themeColor="text1"/>
          <w:sz w:val="24"/>
        </w:rPr>
        <w:t>担保人名称：（盖单位章）</w:t>
      </w:r>
    </w:p>
    <w:p w14:paraId="724C1840">
      <w:pPr>
        <w:spacing w:line="400" w:lineRule="atLeast"/>
        <w:ind w:firstLine="3496" w:firstLineChars="1457"/>
        <w:rPr>
          <w:color w:val="000000" w:themeColor="text1"/>
          <w:sz w:val="24"/>
        </w:rPr>
      </w:pPr>
      <w:r>
        <w:rPr>
          <w:color w:val="000000" w:themeColor="text1"/>
          <w:sz w:val="24"/>
        </w:rPr>
        <w:t>法定代表人或其委托代理人：（签字）</w:t>
      </w:r>
    </w:p>
    <w:p w14:paraId="01FA0767">
      <w:pPr>
        <w:spacing w:line="400" w:lineRule="atLeast"/>
        <w:ind w:firstLine="3496" w:firstLineChars="1457"/>
        <w:rPr>
          <w:color w:val="000000" w:themeColor="text1"/>
          <w:sz w:val="24"/>
        </w:rPr>
      </w:pPr>
      <w:r>
        <w:rPr>
          <w:color w:val="000000" w:themeColor="text1"/>
          <w:sz w:val="24"/>
        </w:rPr>
        <w:t>地址：</w:t>
      </w:r>
      <w:r>
        <w:rPr>
          <w:color w:val="000000" w:themeColor="text1"/>
          <w:sz w:val="24"/>
          <w:u w:val="single"/>
        </w:rPr>
        <w:tab/>
      </w:r>
      <w:r>
        <w:rPr>
          <w:color w:val="000000" w:themeColor="text1"/>
          <w:sz w:val="24"/>
          <w:u w:val="single"/>
        </w:rPr>
        <w:tab/>
      </w:r>
      <w:r>
        <w:rPr>
          <w:color w:val="000000" w:themeColor="text1"/>
          <w:sz w:val="24"/>
          <w:u w:val="single"/>
        </w:rPr>
        <w:tab/>
      </w:r>
      <w:r>
        <w:rPr>
          <w:color w:val="000000" w:themeColor="text1"/>
          <w:sz w:val="24"/>
          <w:u w:val="single"/>
        </w:rPr>
        <w:tab/>
      </w:r>
      <w:r>
        <w:rPr>
          <w:color w:val="000000" w:themeColor="text1"/>
          <w:sz w:val="24"/>
          <w:u w:val="single"/>
        </w:rPr>
        <w:tab/>
      </w:r>
      <w:r>
        <w:rPr>
          <w:color w:val="000000" w:themeColor="text1"/>
          <w:sz w:val="24"/>
          <w:u w:val="single"/>
        </w:rPr>
        <w:tab/>
      </w:r>
    </w:p>
    <w:p w14:paraId="0AD11C75">
      <w:pPr>
        <w:spacing w:line="400" w:lineRule="atLeast"/>
        <w:ind w:firstLine="3496" w:firstLineChars="1457"/>
        <w:rPr>
          <w:color w:val="000000" w:themeColor="text1"/>
          <w:sz w:val="24"/>
        </w:rPr>
      </w:pPr>
      <w:r>
        <w:rPr>
          <w:color w:val="000000" w:themeColor="text1"/>
          <w:sz w:val="24"/>
        </w:rPr>
        <w:t>邮政编码：</w:t>
      </w:r>
      <w:r>
        <w:rPr>
          <w:color w:val="000000" w:themeColor="text1"/>
          <w:sz w:val="24"/>
          <w:u w:val="single"/>
        </w:rPr>
        <w:tab/>
      </w:r>
      <w:r>
        <w:rPr>
          <w:color w:val="000000" w:themeColor="text1"/>
          <w:sz w:val="24"/>
          <w:u w:val="single"/>
        </w:rPr>
        <w:tab/>
      </w:r>
      <w:r>
        <w:rPr>
          <w:color w:val="000000" w:themeColor="text1"/>
          <w:sz w:val="24"/>
          <w:u w:val="single"/>
        </w:rPr>
        <w:tab/>
      </w:r>
      <w:r>
        <w:rPr>
          <w:color w:val="000000" w:themeColor="text1"/>
          <w:sz w:val="24"/>
          <w:u w:val="single"/>
        </w:rPr>
        <w:tab/>
      </w:r>
      <w:r>
        <w:rPr>
          <w:color w:val="000000" w:themeColor="text1"/>
          <w:sz w:val="24"/>
          <w:u w:val="single"/>
        </w:rPr>
        <w:tab/>
      </w:r>
      <w:r>
        <w:rPr>
          <w:color w:val="000000" w:themeColor="text1"/>
          <w:sz w:val="24"/>
          <w:u w:val="single"/>
        </w:rPr>
        <w:tab/>
      </w:r>
      <w:r>
        <w:rPr>
          <w:color w:val="000000" w:themeColor="text1"/>
          <w:sz w:val="24"/>
          <w:u w:val="single"/>
        </w:rPr>
        <w:tab/>
      </w:r>
      <w:r>
        <w:rPr>
          <w:color w:val="000000" w:themeColor="text1"/>
          <w:sz w:val="24"/>
          <w:u w:val="single"/>
        </w:rPr>
        <w:tab/>
      </w:r>
      <w:r>
        <w:rPr>
          <w:color w:val="000000" w:themeColor="text1"/>
          <w:sz w:val="24"/>
          <w:u w:val="single"/>
        </w:rPr>
        <w:tab/>
      </w:r>
    </w:p>
    <w:p w14:paraId="7AEC43B8">
      <w:pPr>
        <w:spacing w:line="400" w:lineRule="atLeast"/>
        <w:ind w:firstLine="3496" w:firstLineChars="1457"/>
        <w:rPr>
          <w:color w:val="000000" w:themeColor="text1"/>
          <w:sz w:val="24"/>
        </w:rPr>
      </w:pPr>
      <w:r>
        <w:rPr>
          <w:color w:val="000000" w:themeColor="text1"/>
          <w:sz w:val="24"/>
        </w:rPr>
        <w:t>电话：</w:t>
      </w:r>
    </w:p>
    <w:p w14:paraId="7024142C">
      <w:pPr>
        <w:spacing w:line="400" w:lineRule="atLeast"/>
        <w:ind w:firstLine="3496" w:firstLineChars="1457"/>
        <w:rPr>
          <w:color w:val="000000" w:themeColor="text1"/>
          <w:sz w:val="24"/>
        </w:rPr>
      </w:pPr>
      <w:r>
        <w:rPr>
          <w:color w:val="000000" w:themeColor="text1"/>
          <w:sz w:val="24"/>
        </w:rPr>
        <w:t>传真：</w:t>
      </w:r>
    </w:p>
    <w:p w14:paraId="094C684A">
      <w:pPr>
        <w:spacing w:line="400" w:lineRule="atLeast"/>
        <w:ind w:firstLine="4216" w:firstLineChars="1757"/>
        <w:jc w:val="right"/>
        <w:rPr>
          <w:color w:val="000000" w:themeColor="text1"/>
          <w:sz w:val="24"/>
        </w:rPr>
      </w:pPr>
      <w:r>
        <w:rPr>
          <w:color w:val="000000" w:themeColor="text1"/>
          <w:sz w:val="24"/>
        </w:rPr>
        <w:t>年月日</w:t>
      </w:r>
    </w:p>
    <w:p w14:paraId="5FCE1A63">
      <w:pPr>
        <w:spacing w:line="400" w:lineRule="atLeast"/>
        <w:rPr>
          <w:color w:val="000000" w:themeColor="text1"/>
          <w:sz w:val="24"/>
        </w:rPr>
      </w:pPr>
    </w:p>
    <w:p w14:paraId="013F9C80">
      <w:pPr>
        <w:spacing w:line="400" w:lineRule="atLeast"/>
        <w:rPr>
          <w:color w:val="000000" w:themeColor="text1"/>
          <w:sz w:val="24"/>
        </w:rPr>
      </w:pPr>
    </w:p>
    <w:p w14:paraId="3FC9460F">
      <w:pPr>
        <w:pStyle w:val="2"/>
        <w:spacing w:before="0" w:after="0" w:line="380" w:lineRule="atLeast"/>
        <w:rPr>
          <w:color w:val="000000" w:themeColor="text1"/>
          <w:sz w:val="24"/>
          <w:szCs w:val="24"/>
        </w:rPr>
      </w:pPr>
      <w:r>
        <w:rPr>
          <w:color w:val="000000" w:themeColor="text1"/>
          <w:sz w:val="24"/>
        </w:rPr>
        <w:br w:type="page"/>
      </w:r>
    </w:p>
    <w:p w14:paraId="00CDFC21">
      <w:pPr>
        <w:rPr>
          <w:b/>
          <w:bCs/>
          <w:color w:val="000000" w:themeColor="text1"/>
          <w:sz w:val="24"/>
          <w:szCs w:val="24"/>
        </w:rPr>
      </w:pPr>
    </w:p>
    <w:p w14:paraId="400619E6">
      <w:pPr>
        <w:rPr>
          <w:color w:val="000000" w:themeColor="text1"/>
          <w:sz w:val="28"/>
          <w:szCs w:val="28"/>
        </w:rPr>
      </w:pPr>
    </w:p>
    <w:p w14:paraId="4E318C91">
      <w:pPr>
        <w:pStyle w:val="2"/>
        <w:spacing w:before="0" w:after="0" w:line="240" w:lineRule="auto"/>
        <w:rPr>
          <w:color w:val="000000" w:themeColor="text1"/>
          <w:sz w:val="48"/>
          <w:szCs w:val="48"/>
        </w:rPr>
      </w:pPr>
    </w:p>
    <w:p w14:paraId="234F56BE">
      <w:pPr>
        <w:pStyle w:val="2"/>
        <w:spacing w:before="0" w:after="0" w:line="240" w:lineRule="auto"/>
        <w:rPr>
          <w:color w:val="000000" w:themeColor="text1"/>
          <w:sz w:val="48"/>
          <w:szCs w:val="48"/>
        </w:rPr>
      </w:pPr>
    </w:p>
    <w:p w14:paraId="2D46262B">
      <w:pPr>
        <w:pStyle w:val="2"/>
        <w:spacing w:before="0" w:after="0" w:line="240" w:lineRule="auto"/>
        <w:rPr>
          <w:color w:val="000000" w:themeColor="text1"/>
          <w:sz w:val="48"/>
          <w:szCs w:val="48"/>
        </w:rPr>
      </w:pPr>
    </w:p>
    <w:p w14:paraId="708BF721">
      <w:pPr>
        <w:pStyle w:val="2"/>
        <w:spacing w:before="0" w:after="0" w:line="240" w:lineRule="auto"/>
        <w:rPr>
          <w:color w:val="000000" w:themeColor="text1"/>
          <w:sz w:val="48"/>
          <w:szCs w:val="48"/>
        </w:rPr>
      </w:pPr>
    </w:p>
    <w:p w14:paraId="1947E400">
      <w:pPr>
        <w:pStyle w:val="2"/>
        <w:spacing w:before="0" w:after="0" w:line="240" w:lineRule="auto"/>
        <w:rPr>
          <w:color w:val="000000" w:themeColor="text1"/>
          <w:sz w:val="48"/>
          <w:szCs w:val="48"/>
        </w:rPr>
      </w:pPr>
    </w:p>
    <w:p w14:paraId="2DDE0A67">
      <w:pPr>
        <w:pStyle w:val="2"/>
        <w:spacing w:before="0" w:after="0" w:line="240" w:lineRule="auto"/>
        <w:rPr>
          <w:color w:val="000000" w:themeColor="text1"/>
          <w:sz w:val="48"/>
          <w:szCs w:val="48"/>
        </w:rPr>
      </w:pPr>
    </w:p>
    <w:p w14:paraId="7FA4596A">
      <w:pPr>
        <w:pStyle w:val="2"/>
        <w:spacing w:before="0" w:after="0" w:line="240" w:lineRule="auto"/>
        <w:rPr>
          <w:color w:val="000000" w:themeColor="text1"/>
          <w:sz w:val="48"/>
          <w:szCs w:val="48"/>
        </w:rPr>
      </w:pPr>
    </w:p>
    <w:p w14:paraId="3B685282">
      <w:pPr>
        <w:pStyle w:val="2"/>
        <w:spacing w:before="0" w:after="0" w:line="240" w:lineRule="auto"/>
        <w:rPr>
          <w:color w:val="000000" w:themeColor="text1"/>
          <w:sz w:val="48"/>
          <w:szCs w:val="48"/>
        </w:rPr>
      </w:pPr>
    </w:p>
    <w:p w14:paraId="00278CA1">
      <w:pPr>
        <w:pStyle w:val="2"/>
        <w:spacing w:before="0" w:after="0" w:line="240" w:lineRule="auto"/>
        <w:jc w:val="center"/>
        <w:rPr>
          <w:b w:val="0"/>
          <w:bCs w:val="0"/>
          <w:color w:val="000000" w:themeColor="text1"/>
          <w:sz w:val="52"/>
          <w:szCs w:val="52"/>
        </w:rPr>
      </w:pPr>
      <w:bookmarkStart w:id="389" w:name="_Toc8598"/>
      <w:bookmarkStart w:id="390" w:name="_Toc19380"/>
      <w:r>
        <w:rPr>
          <w:rFonts w:hint="eastAsia" w:cs="黑体"/>
          <w:b w:val="0"/>
          <w:bCs w:val="0"/>
          <w:color w:val="000000" w:themeColor="text1"/>
          <w:sz w:val="52"/>
          <w:szCs w:val="52"/>
        </w:rPr>
        <w:t>第五章工程量清单</w:t>
      </w:r>
      <w:r>
        <w:rPr>
          <w:b w:val="0"/>
          <w:bCs w:val="0"/>
          <w:color w:val="000000" w:themeColor="text1"/>
          <w:sz w:val="52"/>
          <w:szCs w:val="52"/>
        </w:rPr>
        <w:t>(</w:t>
      </w:r>
      <w:r>
        <w:rPr>
          <w:rFonts w:hint="eastAsia" w:cs="黑体"/>
          <w:b w:val="0"/>
          <w:bCs w:val="0"/>
          <w:color w:val="000000" w:themeColor="text1"/>
          <w:sz w:val="52"/>
          <w:szCs w:val="52"/>
        </w:rPr>
        <w:t>另册</w:t>
      </w:r>
      <w:r>
        <w:rPr>
          <w:b w:val="0"/>
          <w:bCs w:val="0"/>
          <w:color w:val="000000" w:themeColor="text1"/>
          <w:sz w:val="52"/>
          <w:szCs w:val="52"/>
        </w:rPr>
        <w:t>)</w:t>
      </w:r>
      <w:bookmarkEnd w:id="389"/>
      <w:bookmarkEnd w:id="390"/>
    </w:p>
    <w:p w14:paraId="5C77E484">
      <w:pPr>
        <w:rPr>
          <w:b/>
          <w:bCs/>
          <w:color w:val="000000" w:themeColor="text1"/>
          <w:sz w:val="48"/>
          <w:szCs w:val="48"/>
        </w:rPr>
      </w:pPr>
      <w:r>
        <w:rPr>
          <w:color w:val="000000" w:themeColor="text1"/>
        </w:rPr>
        <w:br w:type="page"/>
      </w:r>
    </w:p>
    <w:p w14:paraId="017C5DBF">
      <w:pPr>
        <w:rPr>
          <w:b/>
          <w:bCs/>
          <w:color w:val="000000" w:themeColor="text1"/>
          <w:sz w:val="48"/>
          <w:szCs w:val="48"/>
        </w:rPr>
      </w:pPr>
    </w:p>
    <w:p w14:paraId="5E4797E2">
      <w:pPr>
        <w:rPr>
          <w:b/>
          <w:bCs/>
          <w:color w:val="000000" w:themeColor="text1"/>
          <w:sz w:val="48"/>
          <w:szCs w:val="48"/>
        </w:rPr>
      </w:pPr>
    </w:p>
    <w:p w14:paraId="727B7612">
      <w:pPr>
        <w:rPr>
          <w:b/>
          <w:bCs/>
          <w:color w:val="000000" w:themeColor="text1"/>
          <w:sz w:val="48"/>
          <w:szCs w:val="48"/>
        </w:rPr>
      </w:pPr>
    </w:p>
    <w:p w14:paraId="0AA691A1">
      <w:pPr>
        <w:rPr>
          <w:b/>
          <w:bCs/>
          <w:color w:val="000000" w:themeColor="text1"/>
          <w:sz w:val="48"/>
          <w:szCs w:val="48"/>
        </w:rPr>
      </w:pPr>
    </w:p>
    <w:p w14:paraId="6166C1CF">
      <w:pPr>
        <w:rPr>
          <w:b/>
          <w:bCs/>
          <w:color w:val="000000" w:themeColor="text1"/>
          <w:sz w:val="48"/>
          <w:szCs w:val="48"/>
        </w:rPr>
      </w:pPr>
    </w:p>
    <w:p w14:paraId="7FD26D11">
      <w:pPr>
        <w:rPr>
          <w:b/>
          <w:bCs/>
          <w:color w:val="000000" w:themeColor="text1"/>
          <w:sz w:val="48"/>
          <w:szCs w:val="48"/>
        </w:rPr>
      </w:pPr>
    </w:p>
    <w:p w14:paraId="383AC159">
      <w:pPr>
        <w:rPr>
          <w:b/>
          <w:bCs/>
          <w:color w:val="000000" w:themeColor="text1"/>
          <w:sz w:val="48"/>
          <w:szCs w:val="48"/>
        </w:rPr>
      </w:pPr>
    </w:p>
    <w:p w14:paraId="1EDAE3AD">
      <w:pPr>
        <w:rPr>
          <w:b/>
          <w:bCs/>
          <w:color w:val="000000" w:themeColor="text1"/>
          <w:sz w:val="48"/>
          <w:szCs w:val="48"/>
        </w:rPr>
      </w:pPr>
    </w:p>
    <w:p w14:paraId="3A707376">
      <w:pPr>
        <w:pStyle w:val="2"/>
        <w:jc w:val="center"/>
        <w:rPr>
          <w:b w:val="0"/>
          <w:bCs w:val="0"/>
          <w:color w:val="000000" w:themeColor="text1"/>
          <w:sz w:val="72"/>
          <w:szCs w:val="72"/>
        </w:rPr>
      </w:pPr>
      <w:bookmarkStart w:id="391" w:name="_Toc24697"/>
      <w:bookmarkStart w:id="392" w:name="_Toc32134"/>
      <w:bookmarkStart w:id="393" w:name="_Toc460366518"/>
      <w:r>
        <w:rPr>
          <w:rFonts w:hint="eastAsia" w:cs="黑体"/>
          <w:b w:val="0"/>
          <w:bCs w:val="0"/>
          <w:color w:val="000000" w:themeColor="text1"/>
          <w:sz w:val="72"/>
          <w:szCs w:val="72"/>
        </w:rPr>
        <w:t>第二卷</w:t>
      </w:r>
      <w:bookmarkEnd w:id="391"/>
      <w:bookmarkEnd w:id="392"/>
      <w:bookmarkEnd w:id="393"/>
    </w:p>
    <w:p w14:paraId="52AF2696">
      <w:pPr>
        <w:pStyle w:val="2"/>
        <w:spacing w:before="0" w:after="0" w:line="240" w:lineRule="auto"/>
        <w:rPr>
          <w:b w:val="0"/>
          <w:bCs w:val="0"/>
          <w:color w:val="000000" w:themeColor="text1"/>
          <w:sz w:val="48"/>
          <w:szCs w:val="48"/>
        </w:rPr>
      </w:pPr>
      <w:r>
        <w:rPr>
          <w:b w:val="0"/>
          <w:bCs w:val="0"/>
          <w:color w:val="000000" w:themeColor="text1"/>
        </w:rPr>
        <w:br w:type="page"/>
      </w:r>
    </w:p>
    <w:p w14:paraId="34E8F092">
      <w:pPr>
        <w:pStyle w:val="3"/>
        <w:snapToGrid w:val="0"/>
        <w:spacing w:before="240" w:after="240" w:line="360" w:lineRule="auto"/>
        <w:jc w:val="center"/>
        <w:rPr>
          <w:rFonts w:ascii="宋体" w:hAnsi="宋体" w:eastAsia="宋体"/>
          <w:kern w:val="0"/>
        </w:rPr>
      </w:pPr>
      <w:bookmarkStart w:id="394" w:name="_Toc215884270"/>
      <w:bookmarkStart w:id="395" w:name="_Toc196292895"/>
      <w:bookmarkStart w:id="396" w:name="_Toc2601"/>
    </w:p>
    <w:p w14:paraId="26139250">
      <w:pPr>
        <w:pStyle w:val="2"/>
        <w:spacing w:before="0" w:after="0" w:line="240" w:lineRule="auto"/>
        <w:jc w:val="center"/>
        <w:rPr>
          <w:rFonts w:cs="黑体"/>
          <w:b w:val="0"/>
          <w:bCs w:val="0"/>
          <w:color w:val="000000" w:themeColor="text1"/>
          <w:sz w:val="52"/>
          <w:szCs w:val="52"/>
        </w:rPr>
      </w:pPr>
    </w:p>
    <w:p w14:paraId="42707B50">
      <w:pPr>
        <w:pStyle w:val="2"/>
        <w:spacing w:before="0" w:after="0" w:line="240" w:lineRule="auto"/>
        <w:jc w:val="center"/>
        <w:rPr>
          <w:rFonts w:cs="黑体"/>
          <w:b w:val="0"/>
          <w:bCs w:val="0"/>
          <w:color w:val="000000" w:themeColor="text1"/>
          <w:sz w:val="52"/>
          <w:szCs w:val="52"/>
        </w:rPr>
      </w:pPr>
    </w:p>
    <w:p w14:paraId="51F29C0B">
      <w:pPr>
        <w:pStyle w:val="2"/>
        <w:spacing w:before="0" w:after="0" w:line="240" w:lineRule="auto"/>
        <w:jc w:val="center"/>
        <w:rPr>
          <w:rFonts w:cs="黑体"/>
          <w:b w:val="0"/>
          <w:bCs w:val="0"/>
          <w:color w:val="000000" w:themeColor="text1"/>
          <w:sz w:val="52"/>
          <w:szCs w:val="52"/>
        </w:rPr>
      </w:pPr>
    </w:p>
    <w:p w14:paraId="15FC6C48">
      <w:pPr>
        <w:pStyle w:val="2"/>
        <w:spacing w:before="0" w:after="0" w:line="240" w:lineRule="auto"/>
        <w:jc w:val="center"/>
        <w:rPr>
          <w:rFonts w:cs="黑体"/>
          <w:b w:val="0"/>
          <w:bCs w:val="0"/>
          <w:color w:val="000000" w:themeColor="text1"/>
          <w:sz w:val="52"/>
          <w:szCs w:val="52"/>
        </w:rPr>
      </w:pPr>
    </w:p>
    <w:p w14:paraId="4300FC33">
      <w:pPr>
        <w:pStyle w:val="2"/>
        <w:spacing w:before="0" w:after="0" w:line="240" w:lineRule="auto"/>
        <w:jc w:val="center"/>
        <w:rPr>
          <w:rFonts w:cs="黑体"/>
          <w:b w:val="0"/>
          <w:bCs w:val="0"/>
          <w:color w:val="000000" w:themeColor="text1"/>
          <w:sz w:val="52"/>
          <w:szCs w:val="52"/>
        </w:rPr>
      </w:pPr>
    </w:p>
    <w:p w14:paraId="31B6FB4F">
      <w:pPr>
        <w:pStyle w:val="2"/>
        <w:spacing w:before="0" w:after="0" w:line="240" w:lineRule="auto"/>
        <w:jc w:val="center"/>
        <w:rPr>
          <w:rFonts w:cs="黑体"/>
          <w:b w:val="0"/>
          <w:bCs w:val="0"/>
          <w:color w:val="000000" w:themeColor="text1"/>
          <w:sz w:val="52"/>
          <w:szCs w:val="52"/>
        </w:rPr>
      </w:pPr>
    </w:p>
    <w:p w14:paraId="0C4D007F">
      <w:pPr>
        <w:pStyle w:val="2"/>
        <w:spacing w:before="0" w:after="0" w:line="240" w:lineRule="auto"/>
        <w:jc w:val="center"/>
        <w:rPr>
          <w:rFonts w:cs="黑体"/>
          <w:b w:val="0"/>
          <w:bCs w:val="0"/>
          <w:color w:val="000000" w:themeColor="text1"/>
          <w:sz w:val="52"/>
          <w:szCs w:val="52"/>
        </w:rPr>
      </w:pPr>
      <w:r>
        <w:rPr>
          <w:rFonts w:hint="eastAsia" w:cs="黑体"/>
          <w:b w:val="0"/>
          <w:bCs w:val="0"/>
          <w:color w:val="000000" w:themeColor="text1"/>
          <w:sz w:val="52"/>
          <w:szCs w:val="52"/>
        </w:rPr>
        <w:t>第六章 图</w:t>
      </w:r>
      <w:r>
        <w:rPr>
          <w:rFonts w:hint="eastAsia" w:cs="黑体"/>
          <w:b w:val="0"/>
          <w:bCs w:val="0"/>
          <w:color w:val="000000" w:themeColor="text1"/>
          <w:sz w:val="52"/>
          <w:szCs w:val="52"/>
        </w:rPr>
        <w:tab/>
      </w:r>
      <w:r>
        <w:rPr>
          <w:rFonts w:hint="eastAsia" w:cs="黑体"/>
          <w:b w:val="0"/>
          <w:bCs w:val="0"/>
          <w:color w:val="000000" w:themeColor="text1"/>
          <w:sz w:val="52"/>
          <w:szCs w:val="52"/>
        </w:rPr>
        <w:t>纸</w:t>
      </w:r>
      <w:bookmarkEnd w:id="394"/>
      <w:bookmarkEnd w:id="395"/>
      <w:bookmarkEnd w:id="396"/>
    </w:p>
    <w:p w14:paraId="712D6497">
      <w:pPr>
        <w:pStyle w:val="2"/>
        <w:spacing w:before="0" w:after="0" w:line="240" w:lineRule="auto"/>
        <w:jc w:val="center"/>
        <w:rPr>
          <w:rFonts w:cs="黑体"/>
          <w:b w:val="0"/>
          <w:bCs w:val="0"/>
          <w:color w:val="000000" w:themeColor="text1"/>
          <w:sz w:val="52"/>
          <w:szCs w:val="52"/>
        </w:rPr>
      </w:pPr>
      <w:r>
        <w:rPr>
          <w:rFonts w:hint="eastAsia" w:cs="黑体"/>
          <w:b w:val="0"/>
          <w:bCs w:val="0"/>
          <w:color w:val="000000" w:themeColor="text1"/>
          <w:sz w:val="52"/>
          <w:szCs w:val="52"/>
        </w:rPr>
        <w:t>无</w:t>
      </w:r>
    </w:p>
    <w:p w14:paraId="3F7785C6"/>
    <w:p w14:paraId="1FADD7F4">
      <w:pPr>
        <w:pStyle w:val="2"/>
        <w:spacing w:before="0" w:after="0" w:line="240" w:lineRule="auto"/>
        <w:rPr>
          <w:b w:val="0"/>
          <w:bCs w:val="0"/>
          <w:color w:val="000000" w:themeColor="text1"/>
          <w:sz w:val="48"/>
          <w:szCs w:val="48"/>
        </w:rPr>
      </w:pPr>
    </w:p>
    <w:p w14:paraId="7E40FBCA">
      <w:pPr>
        <w:pStyle w:val="2"/>
        <w:spacing w:before="0" w:after="0" w:line="240" w:lineRule="auto"/>
        <w:rPr>
          <w:b w:val="0"/>
          <w:bCs w:val="0"/>
          <w:color w:val="000000" w:themeColor="text1"/>
          <w:sz w:val="48"/>
          <w:szCs w:val="48"/>
        </w:rPr>
      </w:pPr>
    </w:p>
    <w:p w14:paraId="19270B82">
      <w:pPr>
        <w:pStyle w:val="2"/>
        <w:spacing w:before="0" w:after="0" w:line="240" w:lineRule="auto"/>
        <w:rPr>
          <w:b w:val="0"/>
          <w:bCs w:val="0"/>
          <w:color w:val="000000" w:themeColor="text1"/>
          <w:sz w:val="48"/>
          <w:szCs w:val="48"/>
        </w:rPr>
      </w:pPr>
    </w:p>
    <w:p w14:paraId="5CC1AB70">
      <w:pPr>
        <w:pStyle w:val="2"/>
        <w:spacing w:before="0" w:after="0" w:line="240" w:lineRule="auto"/>
        <w:rPr>
          <w:b w:val="0"/>
          <w:bCs w:val="0"/>
          <w:color w:val="000000" w:themeColor="text1"/>
          <w:sz w:val="48"/>
          <w:szCs w:val="48"/>
        </w:rPr>
      </w:pPr>
    </w:p>
    <w:p w14:paraId="4D64B1F2">
      <w:pPr>
        <w:pStyle w:val="2"/>
        <w:spacing w:before="0" w:after="0" w:line="240" w:lineRule="auto"/>
        <w:rPr>
          <w:b w:val="0"/>
          <w:bCs w:val="0"/>
          <w:color w:val="000000" w:themeColor="text1"/>
          <w:sz w:val="48"/>
          <w:szCs w:val="48"/>
        </w:rPr>
      </w:pPr>
    </w:p>
    <w:p w14:paraId="0D684829">
      <w:pPr>
        <w:rPr>
          <w:color w:val="000000" w:themeColor="text1"/>
          <w:sz w:val="48"/>
          <w:szCs w:val="48"/>
        </w:rPr>
      </w:pPr>
    </w:p>
    <w:p w14:paraId="6CCA3CBD">
      <w:pPr>
        <w:spacing w:line="400" w:lineRule="exact"/>
        <w:rPr>
          <w:b/>
          <w:bCs/>
          <w:color w:val="000000" w:themeColor="text1"/>
        </w:rPr>
        <w:sectPr>
          <w:footerReference r:id="rId6" w:type="default"/>
          <w:pgSz w:w="11906" w:h="16838"/>
          <w:pgMar w:top="1389" w:right="1474" w:bottom="1389" w:left="1644" w:header="851" w:footer="992" w:gutter="0"/>
          <w:cols w:space="720" w:num="1"/>
        </w:sectPr>
      </w:pPr>
    </w:p>
    <w:p w14:paraId="17F5BE75">
      <w:pPr>
        <w:rPr>
          <w:color w:val="000000" w:themeColor="text1"/>
          <w:sz w:val="48"/>
          <w:szCs w:val="48"/>
        </w:rPr>
      </w:pPr>
    </w:p>
    <w:p w14:paraId="33B93E68">
      <w:pPr>
        <w:rPr>
          <w:color w:val="000000" w:themeColor="text1"/>
          <w:sz w:val="48"/>
          <w:szCs w:val="48"/>
        </w:rPr>
      </w:pPr>
    </w:p>
    <w:p w14:paraId="7ABFE995">
      <w:pPr>
        <w:rPr>
          <w:color w:val="000000" w:themeColor="text1"/>
          <w:sz w:val="48"/>
          <w:szCs w:val="48"/>
        </w:rPr>
      </w:pPr>
    </w:p>
    <w:p w14:paraId="39F7A0CC">
      <w:pPr>
        <w:rPr>
          <w:color w:val="000000" w:themeColor="text1"/>
          <w:sz w:val="48"/>
          <w:szCs w:val="48"/>
        </w:rPr>
      </w:pPr>
    </w:p>
    <w:p w14:paraId="5CF472D1">
      <w:pPr>
        <w:rPr>
          <w:color w:val="000000" w:themeColor="text1"/>
          <w:sz w:val="48"/>
          <w:szCs w:val="48"/>
        </w:rPr>
      </w:pPr>
    </w:p>
    <w:p w14:paraId="35705463">
      <w:pPr>
        <w:rPr>
          <w:color w:val="000000" w:themeColor="text1"/>
          <w:sz w:val="48"/>
          <w:szCs w:val="48"/>
        </w:rPr>
      </w:pPr>
    </w:p>
    <w:p w14:paraId="5F4A702A">
      <w:pPr>
        <w:pStyle w:val="2"/>
        <w:jc w:val="center"/>
        <w:rPr>
          <w:b w:val="0"/>
          <w:bCs w:val="0"/>
          <w:color w:val="000000" w:themeColor="text1"/>
          <w:sz w:val="72"/>
          <w:szCs w:val="72"/>
        </w:rPr>
      </w:pPr>
      <w:bookmarkStart w:id="397" w:name="_Toc1109"/>
      <w:bookmarkStart w:id="398" w:name="_Toc460366520"/>
      <w:bookmarkStart w:id="399" w:name="_Toc27883"/>
      <w:r>
        <w:rPr>
          <w:rFonts w:hint="eastAsia" w:cs="黑体"/>
          <w:b w:val="0"/>
          <w:bCs w:val="0"/>
          <w:color w:val="000000" w:themeColor="text1"/>
          <w:sz w:val="72"/>
          <w:szCs w:val="72"/>
        </w:rPr>
        <w:t>第三卷</w:t>
      </w:r>
      <w:bookmarkEnd w:id="397"/>
      <w:bookmarkEnd w:id="398"/>
      <w:bookmarkEnd w:id="399"/>
    </w:p>
    <w:p w14:paraId="4767F499">
      <w:pPr>
        <w:pStyle w:val="2"/>
        <w:jc w:val="center"/>
        <w:rPr>
          <w:color w:val="000000" w:themeColor="text1"/>
          <w:sz w:val="72"/>
          <w:szCs w:val="72"/>
        </w:rPr>
        <w:sectPr>
          <w:pgSz w:w="11906" w:h="16838"/>
          <w:pgMar w:top="1389" w:right="1474" w:bottom="1389" w:left="1644" w:header="851" w:footer="992" w:gutter="0"/>
          <w:cols w:space="720" w:num="1"/>
        </w:sectPr>
      </w:pPr>
    </w:p>
    <w:p w14:paraId="082D4071">
      <w:pPr>
        <w:pStyle w:val="2"/>
        <w:spacing w:before="240" w:beforeLines="100" w:after="0" w:line="360" w:lineRule="auto"/>
        <w:jc w:val="center"/>
        <w:rPr>
          <w:b w:val="0"/>
          <w:bCs w:val="0"/>
          <w:color w:val="000000" w:themeColor="text1"/>
          <w:sz w:val="52"/>
          <w:szCs w:val="52"/>
        </w:rPr>
      </w:pPr>
      <w:bookmarkStart w:id="400" w:name="_Toc13162"/>
      <w:bookmarkStart w:id="401" w:name="_Toc29709"/>
      <w:r>
        <w:rPr>
          <w:rFonts w:hint="eastAsia" w:cs="黑体"/>
          <w:b w:val="0"/>
          <w:bCs w:val="0"/>
          <w:color w:val="000000" w:themeColor="text1"/>
          <w:sz w:val="52"/>
          <w:szCs w:val="52"/>
        </w:rPr>
        <w:t>第七章技术规范</w:t>
      </w:r>
      <w:bookmarkEnd w:id="400"/>
      <w:bookmarkEnd w:id="401"/>
    </w:p>
    <w:p w14:paraId="53A3771C">
      <w:pPr>
        <w:spacing w:line="360" w:lineRule="auto"/>
        <w:ind w:firstLine="480" w:firstLineChars="200"/>
        <w:rPr>
          <w:rFonts w:cs="宋体"/>
          <w:color w:val="000000" w:themeColor="text1"/>
          <w:sz w:val="24"/>
          <w:szCs w:val="24"/>
        </w:rPr>
      </w:pPr>
      <w:r>
        <w:rPr>
          <w:rFonts w:hint="eastAsia" w:cs="宋体"/>
          <w:color w:val="000000" w:themeColor="text1"/>
          <w:sz w:val="24"/>
          <w:szCs w:val="24"/>
        </w:rPr>
        <w:t>主要施工技术和方法及质量检验标准需符合现行国家规范、规程和强制性标准，且符本项目施工设计图纸要求（图纸中的技术要求中要求提供投标人、设备和设备制造商证书、业绩证明材料等相关证明材料的，投标时无需提供，均由中标人在中标后提供。）。</w:t>
      </w:r>
    </w:p>
    <w:p w14:paraId="405B4C55">
      <w:pPr>
        <w:ind w:right="18"/>
        <w:jc w:val="center"/>
        <w:rPr>
          <w:color w:val="000000" w:themeColor="text1"/>
        </w:rPr>
      </w:pPr>
      <w:r>
        <w:rPr>
          <w:color w:val="000000" w:themeColor="text1"/>
        </w:rPr>
        <w:br w:type="page"/>
      </w:r>
    </w:p>
    <w:p w14:paraId="4B4F32C4">
      <w:pPr>
        <w:pStyle w:val="2"/>
        <w:spacing w:before="0" w:after="0" w:line="240" w:lineRule="auto"/>
        <w:jc w:val="center"/>
        <w:rPr>
          <w:b w:val="0"/>
          <w:bCs w:val="0"/>
          <w:color w:val="000000" w:themeColor="text1"/>
          <w:sz w:val="52"/>
          <w:szCs w:val="52"/>
        </w:rPr>
      </w:pPr>
      <w:bookmarkStart w:id="402" w:name="_Toc3771"/>
      <w:bookmarkStart w:id="403" w:name="_Toc10493"/>
      <w:bookmarkStart w:id="404" w:name="_Toc508614287"/>
      <w:r>
        <w:rPr>
          <w:rFonts w:hint="eastAsia" w:cs="黑体"/>
          <w:b w:val="0"/>
          <w:bCs w:val="0"/>
          <w:color w:val="000000" w:themeColor="text1"/>
          <w:sz w:val="52"/>
          <w:szCs w:val="52"/>
        </w:rPr>
        <w:t>第八章工程量清单计量规则</w:t>
      </w:r>
      <w:bookmarkEnd w:id="402"/>
      <w:bookmarkEnd w:id="403"/>
      <w:bookmarkEnd w:id="404"/>
    </w:p>
    <w:p w14:paraId="1232C5F9">
      <w:pPr>
        <w:adjustRightInd w:val="0"/>
        <w:snapToGrid w:val="0"/>
        <w:spacing w:line="360" w:lineRule="auto"/>
        <w:ind w:firstLine="422" w:firstLineChars="200"/>
        <w:rPr>
          <w:rFonts w:cs="宋体"/>
          <w:b/>
          <w:bCs/>
          <w:color w:val="000000" w:themeColor="text1"/>
        </w:rPr>
      </w:pPr>
    </w:p>
    <w:p w14:paraId="07B482C9">
      <w:pPr>
        <w:adjustRightInd w:val="0"/>
        <w:snapToGrid w:val="0"/>
        <w:spacing w:line="360" w:lineRule="auto"/>
        <w:ind w:firstLine="422" w:firstLineChars="200"/>
        <w:rPr>
          <w:rFonts w:cs="宋体"/>
          <w:b/>
          <w:bCs/>
          <w:color w:val="000000" w:themeColor="text1"/>
        </w:rPr>
      </w:pPr>
      <w:r>
        <w:rPr>
          <w:rFonts w:hint="eastAsia" w:cs="宋体"/>
          <w:b/>
          <w:bCs/>
          <w:color w:val="000000" w:themeColor="text1"/>
        </w:rPr>
        <w:t>本工程采用的计量规则：</w:t>
      </w:r>
    </w:p>
    <w:p w14:paraId="2531B1D6">
      <w:pPr>
        <w:adjustRightInd w:val="0"/>
        <w:snapToGrid w:val="0"/>
        <w:spacing w:line="360" w:lineRule="auto"/>
        <w:ind w:firstLine="422" w:firstLineChars="200"/>
        <w:rPr>
          <w:rFonts w:cs="宋体"/>
          <w:b/>
          <w:bCs/>
          <w:color w:val="000000" w:themeColor="text1"/>
        </w:rPr>
      </w:pPr>
      <w:r>
        <w:rPr>
          <w:rFonts w:hint="eastAsia" w:cs="宋体"/>
          <w:b/>
          <w:bCs/>
          <w:color w:val="000000" w:themeColor="text1"/>
        </w:rPr>
        <w:t>1、业主提供的图纸。</w:t>
      </w:r>
    </w:p>
    <w:p w14:paraId="54C777B0">
      <w:pPr>
        <w:adjustRightInd w:val="0"/>
        <w:snapToGrid w:val="0"/>
        <w:spacing w:line="360" w:lineRule="auto"/>
        <w:ind w:firstLine="422" w:firstLineChars="200"/>
        <w:rPr>
          <w:rFonts w:cs="宋体"/>
          <w:b/>
          <w:bCs/>
          <w:color w:val="000000" w:themeColor="text1"/>
        </w:rPr>
      </w:pPr>
      <w:r>
        <w:rPr>
          <w:rFonts w:hint="eastAsia" w:cs="宋体"/>
          <w:b/>
          <w:bCs/>
          <w:color w:val="000000" w:themeColor="text1"/>
        </w:rPr>
        <w:t>2、《建设工程工程量清单计价规范》（GB50500-2013）及计算规范。</w:t>
      </w:r>
    </w:p>
    <w:p w14:paraId="2ACB06A2">
      <w:pPr>
        <w:adjustRightInd w:val="0"/>
        <w:snapToGrid w:val="0"/>
        <w:spacing w:line="360" w:lineRule="auto"/>
        <w:ind w:firstLine="422" w:firstLineChars="200"/>
        <w:rPr>
          <w:rFonts w:cs="宋体"/>
          <w:b/>
          <w:bCs/>
          <w:color w:val="000000" w:themeColor="text1"/>
        </w:rPr>
      </w:pPr>
      <w:r>
        <w:rPr>
          <w:rFonts w:hint="eastAsia" w:cs="宋体"/>
          <w:b/>
          <w:bCs/>
          <w:color w:val="000000" w:themeColor="text1"/>
        </w:rPr>
        <w:t>3、《江苏省建筑与装饰工程计价定额》（2014）、《江苏省安装工程计价定额》（2014）。</w:t>
      </w:r>
    </w:p>
    <w:p w14:paraId="2F4E1976">
      <w:pPr>
        <w:adjustRightInd w:val="0"/>
        <w:snapToGrid w:val="0"/>
        <w:spacing w:line="360" w:lineRule="auto"/>
        <w:ind w:firstLine="422" w:firstLineChars="200"/>
        <w:rPr>
          <w:rFonts w:cs="宋体"/>
          <w:b/>
          <w:bCs/>
          <w:color w:val="000000" w:themeColor="text1"/>
        </w:rPr>
      </w:pPr>
      <w:r>
        <w:rPr>
          <w:rFonts w:hint="eastAsia" w:cs="宋体"/>
          <w:b/>
          <w:bCs/>
          <w:color w:val="000000" w:themeColor="text1"/>
        </w:rPr>
        <w:t>4、《江苏省建设工程费用定额》（2014）。</w:t>
      </w:r>
    </w:p>
    <w:p w14:paraId="548426C1">
      <w:pPr>
        <w:adjustRightInd w:val="0"/>
        <w:snapToGrid w:val="0"/>
        <w:spacing w:line="360" w:lineRule="auto"/>
        <w:ind w:firstLine="422" w:firstLineChars="200"/>
        <w:rPr>
          <w:rFonts w:cs="宋体"/>
          <w:b/>
          <w:bCs/>
          <w:color w:val="000000" w:themeColor="text1"/>
        </w:rPr>
      </w:pPr>
      <w:r>
        <w:rPr>
          <w:rFonts w:hint="eastAsia" w:cs="宋体"/>
          <w:b/>
          <w:bCs/>
          <w:color w:val="000000" w:themeColor="text1"/>
        </w:rPr>
        <w:t>5、《南通建设工程造价信息》2024年第</w:t>
      </w:r>
      <w:r>
        <w:rPr>
          <w:rFonts w:hint="eastAsia" w:cs="宋体"/>
          <w:b/>
          <w:bCs/>
          <w:color w:val="000000" w:themeColor="text1"/>
          <w:lang w:val="en-US" w:eastAsia="zh-CN"/>
        </w:rPr>
        <w:t>9</w:t>
      </w:r>
      <w:r>
        <w:rPr>
          <w:rFonts w:hint="eastAsia" w:cs="宋体"/>
          <w:b/>
          <w:bCs/>
          <w:color w:val="000000" w:themeColor="text1"/>
        </w:rPr>
        <w:t>期及市场价。</w:t>
      </w:r>
    </w:p>
    <w:p w14:paraId="7C21CF93">
      <w:pPr>
        <w:adjustRightInd w:val="0"/>
        <w:snapToGrid w:val="0"/>
        <w:spacing w:line="360" w:lineRule="auto"/>
        <w:ind w:firstLine="422" w:firstLineChars="200"/>
        <w:rPr>
          <w:rFonts w:cs="宋体"/>
          <w:b/>
          <w:bCs/>
          <w:color w:val="000000" w:themeColor="text1"/>
        </w:rPr>
      </w:pPr>
      <w:r>
        <w:rPr>
          <w:rFonts w:hint="eastAsia" w:cs="宋体"/>
          <w:b/>
          <w:bCs/>
          <w:color w:val="000000" w:themeColor="text1"/>
        </w:rPr>
        <w:t>6、根据省住房城乡建设厅关于建筑业实施营改增后江苏省建设工程计价依据调整的通知，苏建价[2016]154号文件规定，本工程按一般计税方法计价，税率执行按省住房城乡建设厅关于调整建设工程计价增值税税率的通知，苏建函[2019]178号文件。</w:t>
      </w:r>
    </w:p>
    <w:p w14:paraId="5B4A4081">
      <w:pPr>
        <w:adjustRightInd w:val="0"/>
        <w:snapToGrid w:val="0"/>
        <w:spacing w:line="360" w:lineRule="auto"/>
        <w:ind w:firstLine="422" w:firstLineChars="200"/>
        <w:rPr>
          <w:rFonts w:cs="宋体"/>
          <w:b/>
          <w:bCs/>
          <w:color w:val="000000" w:themeColor="text1"/>
        </w:rPr>
      </w:pPr>
      <w:r>
        <w:rPr>
          <w:rFonts w:hint="eastAsia" w:cs="宋体"/>
          <w:b/>
          <w:bCs/>
          <w:color w:val="000000" w:themeColor="text1"/>
        </w:rPr>
        <w:t>7、省住房城乡建设厅关于调整建设工程按质论价等费用计取方法的公告，[2018]第24号文件。</w:t>
      </w:r>
    </w:p>
    <w:p w14:paraId="0FD6C4D1">
      <w:pPr>
        <w:adjustRightInd w:val="0"/>
        <w:snapToGrid w:val="0"/>
        <w:spacing w:line="360" w:lineRule="auto"/>
        <w:ind w:firstLine="422" w:firstLineChars="200"/>
        <w:rPr>
          <w:rFonts w:cs="宋体"/>
          <w:b/>
          <w:bCs/>
          <w:color w:val="000000" w:themeColor="text1"/>
        </w:rPr>
      </w:pPr>
      <w:r>
        <w:rPr>
          <w:rFonts w:hint="eastAsia" w:cs="宋体"/>
          <w:b/>
          <w:bCs/>
          <w:color w:val="000000" w:themeColor="text1"/>
        </w:rPr>
        <w:t>8、关于明确南通市建设工程环境保护税计价问题的通知，通建价[2019]20号文件。</w:t>
      </w:r>
    </w:p>
    <w:p w14:paraId="6D6EDE5E">
      <w:pPr>
        <w:adjustRightInd w:val="0"/>
        <w:snapToGrid w:val="0"/>
        <w:spacing w:line="360" w:lineRule="auto"/>
        <w:ind w:firstLine="422" w:firstLineChars="200"/>
        <w:rPr>
          <w:rFonts w:cs="宋体"/>
          <w:b/>
          <w:bCs/>
          <w:color w:val="000000" w:themeColor="text1"/>
        </w:rPr>
      </w:pPr>
      <w:r>
        <w:rPr>
          <w:rFonts w:hint="eastAsia" w:cs="宋体"/>
          <w:b/>
          <w:bCs/>
          <w:color w:val="000000" w:themeColor="text1"/>
        </w:rPr>
        <w:t>9、省住房城乡建设厅关于建筑工人实名制费用计取方法的公告，[2019]第19号文件。</w:t>
      </w:r>
    </w:p>
    <w:p w14:paraId="40969D99">
      <w:pPr>
        <w:rPr>
          <w:color w:val="000000" w:themeColor="text1"/>
          <w:sz w:val="48"/>
          <w:szCs w:val="48"/>
        </w:rPr>
      </w:pPr>
    </w:p>
    <w:p w14:paraId="67612C71">
      <w:pPr>
        <w:rPr>
          <w:color w:val="000000" w:themeColor="text1"/>
          <w:sz w:val="48"/>
          <w:szCs w:val="48"/>
        </w:rPr>
      </w:pPr>
    </w:p>
    <w:p w14:paraId="4F8DD734">
      <w:pPr>
        <w:pStyle w:val="2"/>
        <w:jc w:val="center"/>
        <w:rPr>
          <w:rFonts w:cs="黑体"/>
          <w:b w:val="0"/>
          <w:bCs w:val="0"/>
          <w:color w:val="000000" w:themeColor="text1"/>
          <w:sz w:val="72"/>
          <w:szCs w:val="72"/>
        </w:rPr>
      </w:pPr>
      <w:bookmarkStart w:id="405" w:name="_Toc460366522"/>
      <w:bookmarkStart w:id="406" w:name="_Toc234744460"/>
    </w:p>
    <w:p w14:paraId="69DCB25D">
      <w:pPr>
        <w:rPr>
          <w:rFonts w:cs="黑体"/>
          <w:color w:val="000000" w:themeColor="text1"/>
          <w:sz w:val="72"/>
          <w:szCs w:val="72"/>
        </w:rPr>
      </w:pPr>
      <w:bookmarkStart w:id="407" w:name="_Toc12128"/>
      <w:bookmarkStart w:id="408" w:name="_Toc19585"/>
      <w:r>
        <w:rPr>
          <w:rFonts w:hint="eastAsia" w:cs="黑体"/>
          <w:color w:val="000000" w:themeColor="text1"/>
          <w:sz w:val="72"/>
          <w:szCs w:val="72"/>
        </w:rPr>
        <w:br w:type="page"/>
      </w:r>
    </w:p>
    <w:p w14:paraId="1E5E5242">
      <w:pPr>
        <w:pStyle w:val="2"/>
        <w:jc w:val="center"/>
        <w:rPr>
          <w:rFonts w:cs="黑体"/>
          <w:b w:val="0"/>
          <w:bCs w:val="0"/>
          <w:color w:val="000000" w:themeColor="text1"/>
          <w:sz w:val="72"/>
          <w:szCs w:val="72"/>
        </w:rPr>
      </w:pPr>
    </w:p>
    <w:p w14:paraId="448470BF">
      <w:pPr>
        <w:pStyle w:val="2"/>
        <w:jc w:val="center"/>
        <w:rPr>
          <w:rFonts w:cs="黑体"/>
          <w:b w:val="0"/>
          <w:bCs w:val="0"/>
          <w:color w:val="000000" w:themeColor="text1"/>
          <w:sz w:val="72"/>
          <w:szCs w:val="72"/>
        </w:rPr>
      </w:pPr>
    </w:p>
    <w:p w14:paraId="77BBFC62">
      <w:pPr>
        <w:pStyle w:val="2"/>
        <w:jc w:val="center"/>
        <w:rPr>
          <w:b w:val="0"/>
          <w:bCs w:val="0"/>
          <w:color w:val="000000" w:themeColor="text1"/>
          <w:sz w:val="72"/>
          <w:szCs w:val="72"/>
        </w:rPr>
      </w:pPr>
      <w:r>
        <w:rPr>
          <w:rFonts w:hint="eastAsia" w:cs="黑体"/>
          <w:b w:val="0"/>
          <w:bCs w:val="0"/>
          <w:color w:val="000000" w:themeColor="text1"/>
          <w:sz w:val="72"/>
          <w:szCs w:val="72"/>
        </w:rPr>
        <w:t>第四卷</w:t>
      </w:r>
      <w:bookmarkEnd w:id="405"/>
      <w:bookmarkEnd w:id="406"/>
      <w:bookmarkEnd w:id="407"/>
      <w:bookmarkEnd w:id="408"/>
    </w:p>
    <w:p w14:paraId="090B6F4A">
      <w:pPr>
        <w:spacing w:line="400" w:lineRule="exact"/>
        <w:rPr>
          <w:color w:val="000000" w:themeColor="text1"/>
        </w:rPr>
        <w:sectPr>
          <w:headerReference r:id="rId7" w:type="default"/>
          <w:footerReference r:id="rId8" w:type="default"/>
          <w:pgSz w:w="11906" w:h="16838"/>
          <w:pgMar w:top="1389" w:right="1474" w:bottom="1389" w:left="1644" w:header="851" w:footer="992" w:gutter="0"/>
          <w:cols w:space="720" w:num="1"/>
          <w:docGrid w:linePitch="312" w:charSpace="0"/>
        </w:sectPr>
      </w:pPr>
    </w:p>
    <w:p w14:paraId="4089B374">
      <w:pPr>
        <w:rPr>
          <w:color w:val="000000" w:themeColor="text1"/>
          <w:sz w:val="48"/>
          <w:szCs w:val="48"/>
        </w:rPr>
      </w:pPr>
    </w:p>
    <w:p w14:paraId="6D95015A">
      <w:pPr>
        <w:rPr>
          <w:color w:val="000000" w:themeColor="text1"/>
          <w:sz w:val="48"/>
          <w:szCs w:val="48"/>
        </w:rPr>
      </w:pPr>
    </w:p>
    <w:p w14:paraId="4E583041">
      <w:pPr>
        <w:rPr>
          <w:color w:val="000000" w:themeColor="text1"/>
          <w:sz w:val="48"/>
          <w:szCs w:val="48"/>
        </w:rPr>
      </w:pPr>
    </w:p>
    <w:p w14:paraId="4811EFEB">
      <w:pPr>
        <w:rPr>
          <w:color w:val="000000" w:themeColor="text1"/>
          <w:sz w:val="48"/>
          <w:szCs w:val="48"/>
        </w:rPr>
      </w:pPr>
    </w:p>
    <w:p w14:paraId="4B6F479F">
      <w:pPr>
        <w:rPr>
          <w:color w:val="000000" w:themeColor="text1"/>
          <w:sz w:val="48"/>
          <w:szCs w:val="48"/>
        </w:rPr>
      </w:pPr>
    </w:p>
    <w:p w14:paraId="568AF5E4">
      <w:pPr>
        <w:rPr>
          <w:color w:val="000000" w:themeColor="text1"/>
          <w:sz w:val="48"/>
          <w:szCs w:val="48"/>
        </w:rPr>
      </w:pPr>
    </w:p>
    <w:p w14:paraId="08B8A28A">
      <w:pPr>
        <w:rPr>
          <w:color w:val="000000" w:themeColor="text1"/>
          <w:sz w:val="48"/>
          <w:szCs w:val="48"/>
        </w:rPr>
      </w:pPr>
    </w:p>
    <w:p w14:paraId="5485A84E">
      <w:pPr>
        <w:rPr>
          <w:color w:val="000000" w:themeColor="text1"/>
          <w:sz w:val="48"/>
          <w:szCs w:val="48"/>
        </w:rPr>
      </w:pPr>
    </w:p>
    <w:p w14:paraId="4885B40C">
      <w:pPr>
        <w:pStyle w:val="2"/>
        <w:spacing w:before="0" w:after="0" w:line="240" w:lineRule="auto"/>
        <w:jc w:val="center"/>
        <w:rPr>
          <w:b w:val="0"/>
          <w:bCs w:val="0"/>
          <w:color w:val="000000" w:themeColor="text1"/>
          <w:sz w:val="52"/>
          <w:szCs w:val="52"/>
        </w:rPr>
      </w:pPr>
      <w:bookmarkStart w:id="409" w:name="_Toc30445"/>
      <w:bookmarkStart w:id="410" w:name="_Toc12500"/>
      <w:r>
        <w:rPr>
          <w:rFonts w:hint="eastAsia" w:cs="黑体"/>
          <w:b w:val="0"/>
          <w:bCs w:val="0"/>
          <w:color w:val="000000" w:themeColor="text1"/>
          <w:sz w:val="52"/>
          <w:szCs w:val="52"/>
        </w:rPr>
        <w:t>第九章投标文件格式</w:t>
      </w:r>
      <w:bookmarkEnd w:id="409"/>
      <w:bookmarkEnd w:id="410"/>
    </w:p>
    <w:p w14:paraId="51045ED6">
      <w:pPr>
        <w:rPr>
          <w:color w:val="000000" w:themeColor="text1"/>
          <w:sz w:val="48"/>
          <w:szCs w:val="48"/>
        </w:rPr>
      </w:pPr>
    </w:p>
    <w:p w14:paraId="02D3228E">
      <w:pPr>
        <w:pStyle w:val="2"/>
        <w:spacing w:before="120" w:after="120" w:line="400" w:lineRule="exact"/>
        <w:jc w:val="center"/>
        <w:rPr>
          <w:color w:val="000000" w:themeColor="text1"/>
        </w:rPr>
      </w:pPr>
    </w:p>
    <w:p w14:paraId="3099F3B2">
      <w:pPr>
        <w:jc w:val="center"/>
        <w:rPr>
          <w:color w:val="000000" w:themeColor="text1"/>
          <w:sz w:val="48"/>
          <w:szCs w:val="48"/>
        </w:rPr>
      </w:pPr>
      <w:r>
        <w:rPr>
          <w:color w:val="000000" w:themeColor="text1"/>
        </w:rPr>
        <w:br w:type="page"/>
      </w:r>
    </w:p>
    <w:p w14:paraId="4E510173">
      <w:pPr>
        <w:outlineLvl w:val="0"/>
        <w:rPr>
          <w:b/>
          <w:bCs/>
          <w:color w:val="000000" w:themeColor="text1"/>
          <w:sz w:val="32"/>
          <w:szCs w:val="32"/>
        </w:rPr>
      </w:pPr>
      <w:bookmarkStart w:id="411" w:name="_Toc8699"/>
      <w:r>
        <w:rPr>
          <w:rFonts w:hint="eastAsia" w:cs="宋体"/>
          <w:b/>
          <w:bCs/>
          <w:color w:val="000000" w:themeColor="text1"/>
          <w:sz w:val="32"/>
          <w:szCs w:val="32"/>
        </w:rPr>
        <w:t>第一个信封封面格式</w:t>
      </w:r>
      <w:bookmarkEnd w:id="411"/>
    </w:p>
    <w:p w14:paraId="1859E010">
      <w:pPr>
        <w:rPr>
          <w:b/>
          <w:bCs/>
          <w:color w:val="000000" w:themeColor="text1"/>
          <w:sz w:val="32"/>
          <w:szCs w:val="32"/>
        </w:rPr>
      </w:pPr>
    </w:p>
    <w:p w14:paraId="66FC71A9">
      <w:pPr>
        <w:jc w:val="center"/>
        <w:rPr>
          <w:b/>
          <w:bCs/>
          <w:color w:val="000000" w:themeColor="text1"/>
          <w:sz w:val="48"/>
          <w:szCs w:val="48"/>
        </w:rPr>
      </w:pPr>
      <w:r>
        <w:rPr>
          <w:rFonts w:hint="eastAsia"/>
          <w:b/>
          <w:bCs/>
          <w:color w:val="000000" w:themeColor="text1"/>
          <w:sz w:val="48"/>
          <w:szCs w:val="48"/>
        </w:rPr>
        <w:t>南通市港航事业发展中心海门分中心房屋修缮工程</w:t>
      </w:r>
    </w:p>
    <w:p w14:paraId="10FC5431">
      <w:pPr>
        <w:jc w:val="center"/>
        <w:rPr>
          <w:color w:val="000000" w:themeColor="text1"/>
          <w:spacing w:val="50"/>
          <w:sz w:val="48"/>
          <w:szCs w:val="48"/>
        </w:rPr>
      </w:pPr>
    </w:p>
    <w:p w14:paraId="7DD2534B">
      <w:pPr>
        <w:jc w:val="center"/>
        <w:rPr>
          <w:color w:val="000000" w:themeColor="text1"/>
          <w:spacing w:val="50"/>
          <w:sz w:val="48"/>
          <w:szCs w:val="48"/>
        </w:rPr>
      </w:pPr>
    </w:p>
    <w:p w14:paraId="2D750584">
      <w:pPr>
        <w:jc w:val="center"/>
        <w:rPr>
          <w:color w:val="000000" w:themeColor="text1"/>
          <w:spacing w:val="50"/>
          <w:sz w:val="48"/>
          <w:szCs w:val="48"/>
        </w:rPr>
      </w:pPr>
    </w:p>
    <w:p w14:paraId="0C4EA9B7">
      <w:pPr>
        <w:jc w:val="center"/>
        <w:rPr>
          <w:color w:val="000000" w:themeColor="text1"/>
          <w:spacing w:val="100"/>
          <w:sz w:val="48"/>
          <w:szCs w:val="48"/>
        </w:rPr>
      </w:pPr>
    </w:p>
    <w:p w14:paraId="73D49E85">
      <w:pPr>
        <w:jc w:val="center"/>
        <w:rPr>
          <w:color w:val="000000" w:themeColor="text1"/>
          <w:spacing w:val="100"/>
          <w:sz w:val="48"/>
          <w:szCs w:val="48"/>
        </w:rPr>
      </w:pPr>
    </w:p>
    <w:p w14:paraId="45D4C569">
      <w:pPr>
        <w:jc w:val="center"/>
        <w:rPr>
          <w:color w:val="000000" w:themeColor="text1"/>
          <w:spacing w:val="60"/>
          <w:sz w:val="84"/>
          <w:szCs w:val="84"/>
        </w:rPr>
      </w:pPr>
      <w:r>
        <w:rPr>
          <w:rFonts w:hint="eastAsia" w:cs="黑体"/>
          <w:color w:val="000000" w:themeColor="text1"/>
          <w:spacing w:val="60"/>
          <w:sz w:val="84"/>
          <w:szCs w:val="84"/>
        </w:rPr>
        <w:t>投标文件</w:t>
      </w:r>
    </w:p>
    <w:p w14:paraId="75DD8F0D">
      <w:pPr>
        <w:jc w:val="center"/>
        <w:rPr>
          <w:color w:val="000000" w:themeColor="text1"/>
          <w:spacing w:val="60"/>
          <w:sz w:val="44"/>
          <w:szCs w:val="44"/>
        </w:rPr>
      </w:pPr>
      <w:bookmarkStart w:id="412" w:name="_Toc428810609"/>
      <w:r>
        <w:rPr>
          <w:rFonts w:hint="eastAsia" w:cs="黑体"/>
          <w:snapToGrid w:val="0"/>
          <w:color w:val="000000" w:themeColor="text1"/>
          <w:kern w:val="0"/>
          <w:sz w:val="44"/>
          <w:szCs w:val="44"/>
        </w:rPr>
        <w:t>（第一个信封商务文件</w:t>
      </w:r>
      <w:bookmarkEnd w:id="412"/>
      <w:r>
        <w:rPr>
          <w:rFonts w:hint="eastAsia" w:cs="黑体"/>
          <w:snapToGrid w:val="0"/>
          <w:color w:val="000000" w:themeColor="text1"/>
          <w:kern w:val="0"/>
          <w:sz w:val="44"/>
          <w:szCs w:val="44"/>
        </w:rPr>
        <w:t>）</w:t>
      </w:r>
    </w:p>
    <w:p w14:paraId="3AD047B3">
      <w:pPr>
        <w:jc w:val="center"/>
        <w:rPr>
          <w:b/>
          <w:bCs/>
          <w:color w:val="000000" w:themeColor="text1"/>
          <w:sz w:val="48"/>
          <w:szCs w:val="48"/>
        </w:rPr>
      </w:pPr>
    </w:p>
    <w:p w14:paraId="6E0D050D">
      <w:pPr>
        <w:jc w:val="center"/>
        <w:rPr>
          <w:color w:val="000000" w:themeColor="text1"/>
          <w:sz w:val="48"/>
          <w:szCs w:val="48"/>
        </w:rPr>
      </w:pPr>
    </w:p>
    <w:p w14:paraId="0A631A84">
      <w:pPr>
        <w:jc w:val="center"/>
        <w:rPr>
          <w:color w:val="000000" w:themeColor="text1"/>
          <w:sz w:val="48"/>
          <w:szCs w:val="48"/>
        </w:rPr>
      </w:pPr>
    </w:p>
    <w:p w14:paraId="14C46000">
      <w:pPr>
        <w:jc w:val="center"/>
        <w:rPr>
          <w:color w:val="000000" w:themeColor="text1"/>
          <w:sz w:val="48"/>
          <w:szCs w:val="48"/>
        </w:rPr>
      </w:pPr>
    </w:p>
    <w:p w14:paraId="032E02C6">
      <w:pPr>
        <w:jc w:val="center"/>
        <w:rPr>
          <w:color w:val="000000" w:themeColor="text1"/>
          <w:sz w:val="48"/>
          <w:szCs w:val="48"/>
        </w:rPr>
      </w:pPr>
    </w:p>
    <w:p w14:paraId="31325990">
      <w:pPr>
        <w:jc w:val="center"/>
        <w:rPr>
          <w:color w:val="000000" w:themeColor="text1"/>
          <w:sz w:val="48"/>
          <w:szCs w:val="48"/>
        </w:rPr>
      </w:pPr>
    </w:p>
    <w:p w14:paraId="6CF6BFB4">
      <w:pPr>
        <w:jc w:val="center"/>
        <w:rPr>
          <w:color w:val="000000" w:themeColor="text1"/>
          <w:sz w:val="48"/>
          <w:szCs w:val="48"/>
        </w:rPr>
      </w:pPr>
    </w:p>
    <w:p w14:paraId="1B3BC196">
      <w:pPr>
        <w:jc w:val="center"/>
        <w:rPr>
          <w:color w:val="000000" w:themeColor="text1"/>
          <w:sz w:val="48"/>
          <w:szCs w:val="48"/>
        </w:rPr>
      </w:pPr>
    </w:p>
    <w:p w14:paraId="0BE2060C">
      <w:pPr>
        <w:jc w:val="center"/>
        <w:rPr>
          <w:color w:val="000000" w:themeColor="text1"/>
          <w:sz w:val="48"/>
          <w:szCs w:val="48"/>
        </w:rPr>
      </w:pPr>
    </w:p>
    <w:p w14:paraId="3DC328F1">
      <w:pPr>
        <w:jc w:val="center"/>
        <w:rPr>
          <w:color w:val="000000" w:themeColor="text1"/>
          <w:sz w:val="36"/>
          <w:szCs w:val="36"/>
          <w:u w:val="single"/>
        </w:rPr>
      </w:pPr>
      <w:r>
        <w:rPr>
          <w:rFonts w:hint="eastAsia" w:cs="宋体"/>
          <w:color w:val="000000" w:themeColor="text1"/>
          <w:sz w:val="36"/>
          <w:szCs w:val="36"/>
        </w:rPr>
        <w:t>投标人：</w:t>
      </w:r>
      <w:r>
        <w:rPr>
          <w:rFonts w:cs="宋体"/>
          <w:color w:val="000000" w:themeColor="text1"/>
          <w:sz w:val="36"/>
          <w:szCs w:val="36"/>
          <w:u w:val="single"/>
        </w:rPr>
        <w:t>(</w:t>
      </w:r>
      <w:r>
        <w:rPr>
          <w:rFonts w:hint="eastAsia" w:cs="宋体"/>
          <w:color w:val="000000" w:themeColor="text1"/>
          <w:sz w:val="36"/>
          <w:szCs w:val="36"/>
          <w:u w:val="single"/>
        </w:rPr>
        <w:t>盖单位章</w:t>
      </w:r>
      <w:r>
        <w:rPr>
          <w:rFonts w:cs="宋体"/>
          <w:color w:val="000000" w:themeColor="text1"/>
          <w:sz w:val="36"/>
          <w:szCs w:val="36"/>
          <w:u w:val="single"/>
        </w:rPr>
        <w:t xml:space="preserve">)      </w:t>
      </w:r>
    </w:p>
    <w:p w14:paraId="2CA07A3E">
      <w:pPr>
        <w:jc w:val="center"/>
        <w:rPr>
          <w:color w:val="000000" w:themeColor="text1"/>
          <w:sz w:val="36"/>
          <w:szCs w:val="36"/>
        </w:rPr>
      </w:pPr>
      <w:r>
        <w:rPr>
          <w:rFonts w:hint="eastAsia" w:cs="宋体"/>
          <w:color w:val="000000" w:themeColor="text1"/>
          <w:sz w:val="36"/>
          <w:szCs w:val="36"/>
        </w:rPr>
        <w:t>年月日</w:t>
      </w:r>
    </w:p>
    <w:p w14:paraId="33EAD8E6">
      <w:pPr>
        <w:spacing w:line="400" w:lineRule="exact"/>
        <w:rPr>
          <w:color w:val="000000" w:themeColor="text1"/>
        </w:rPr>
        <w:sectPr>
          <w:pgSz w:w="11906" w:h="16838"/>
          <w:pgMar w:top="1389" w:right="1474" w:bottom="1389" w:left="1644" w:header="851" w:footer="992" w:gutter="0"/>
          <w:cols w:space="720" w:num="1"/>
          <w:docGrid w:linePitch="312" w:charSpace="0"/>
        </w:sectPr>
      </w:pPr>
    </w:p>
    <w:p w14:paraId="7D8E1582">
      <w:pPr>
        <w:spacing w:before="120" w:beforeLines="50" w:after="120" w:afterLines="50"/>
        <w:jc w:val="center"/>
        <w:rPr>
          <w:color w:val="000000" w:themeColor="text1"/>
          <w:sz w:val="44"/>
          <w:szCs w:val="44"/>
        </w:rPr>
      </w:pPr>
      <w:r>
        <w:rPr>
          <w:rFonts w:hint="eastAsia" w:cs="黑体"/>
          <w:color w:val="000000" w:themeColor="text1"/>
          <w:sz w:val="44"/>
          <w:szCs w:val="44"/>
        </w:rPr>
        <w:t>目录</w:t>
      </w:r>
    </w:p>
    <w:p w14:paraId="06774FF7">
      <w:pPr>
        <w:spacing w:before="120" w:beforeLines="50" w:after="120" w:afterLines="50"/>
        <w:rPr>
          <w:b/>
          <w:bCs/>
          <w:color w:val="000000" w:themeColor="text1"/>
          <w:sz w:val="28"/>
          <w:szCs w:val="28"/>
        </w:rPr>
      </w:pPr>
    </w:p>
    <w:p w14:paraId="0DF4354B">
      <w:pPr>
        <w:spacing w:before="120" w:beforeLines="50" w:after="120" w:afterLines="50"/>
        <w:rPr>
          <w:rFonts w:cs="宋体"/>
          <w:color w:val="000000" w:themeColor="text1"/>
          <w:sz w:val="28"/>
          <w:szCs w:val="28"/>
        </w:rPr>
      </w:pPr>
      <w:r>
        <w:rPr>
          <w:rFonts w:hint="eastAsia" w:cs="宋体"/>
          <w:color w:val="000000" w:themeColor="text1"/>
          <w:sz w:val="28"/>
          <w:szCs w:val="28"/>
        </w:rPr>
        <w:t>一、投标函及投标函附录</w:t>
      </w:r>
    </w:p>
    <w:p w14:paraId="3EBBAFA0">
      <w:pPr>
        <w:spacing w:before="120" w:beforeLines="50" w:after="120" w:afterLines="50"/>
        <w:rPr>
          <w:rFonts w:cs="宋体"/>
          <w:color w:val="000000" w:themeColor="text1"/>
          <w:sz w:val="28"/>
          <w:szCs w:val="28"/>
        </w:rPr>
      </w:pPr>
      <w:r>
        <w:rPr>
          <w:rFonts w:hint="eastAsia" w:cs="宋体"/>
          <w:color w:val="000000" w:themeColor="text1"/>
          <w:sz w:val="28"/>
          <w:szCs w:val="28"/>
        </w:rPr>
        <w:t>二、授权委托书或法定代表人身份证明</w:t>
      </w:r>
    </w:p>
    <w:p w14:paraId="7DA070EB">
      <w:pPr>
        <w:spacing w:before="120" w:beforeLines="50" w:after="120" w:afterLines="50"/>
        <w:rPr>
          <w:rFonts w:cs="宋体"/>
          <w:color w:val="000000" w:themeColor="text1"/>
          <w:sz w:val="28"/>
          <w:szCs w:val="28"/>
        </w:rPr>
      </w:pPr>
      <w:r>
        <w:rPr>
          <w:rFonts w:hint="eastAsia" w:cs="宋体"/>
          <w:color w:val="000000" w:themeColor="text1"/>
          <w:sz w:val="28"/>
          <w:szCs w:val="28"/>
        </w:rPr>
        <w:t>三、项目管理机构</w:t>
      </w:r>
    </w:p>
    <w:p w14:paraId="5358F4B5">
      <w:pPr>
        <w:spacing w:before="120" w:beforeLines="50" w:after="120" w:afterLines="50"/>
        <w:rPr>
          <w:rFonts w:cs="宋体"/>
          <w:color w:val="000000" w:themeColor="text1"/>
          <w:sz w:val="28"/>
          <w:szCs w:val="28"/>
        </w:rPr>
      </w:pPr>
      <w:r>
        <w:rPr>
          <w:rFonts w:hint="eastAsia" w:cs="宋体"/>
          <w:color w:val="000000" w:themeColor="text1"/>
          <w:sz w:val="28"/>
          <w:szCs w:val="28"/>
        </w:rPr>
        <w:t>四、拟分包项目情况表</w:t>
      </w:r>
    </w:p>
    <w:p w14:paraId="40D7E0E2">
      <w:pPr>
        <w:spacing w:before="120" w:beforeLines="50" w:after="120" w:afterLines="50"/>
        <w:rPr>
          <w:rFonts w:cs="宋体"/>
          <w:color w:val="000000" w:themeColor="text1"/>
          <w:sz w:val="28"/>
          <w:szCs w:val="28"/>
        </w:rPr>
      </w:pPr>
      <w:r>
        <w:rPr>
          <w:rFonts w:hint="eastAsia" w:cs="宋体"/>
          <w:color w:val="000000" w:themeColor="text1"/>
          <w:sz w:val="28"/>
          <w:szCs w:val="28"/>
        </w:rPr>
        <w:t>五、资格审查资料</w:t>
      </w:r>
    </w:p>
    <w:p w14:paraId="0EB58797">
      <w:pPr>
        <w:spacing w:before="120" w:beforeLines="50" w:after="120" w:afterLines="50"/>
        <w:rPr>
          <w:rFonts w:cs="宋体"/>
          <w:color w:val="000000" w:themeColor="text1"/>
          <w:sz w:val="28"/>
          <w:szCs w:val="28"/>
        </w:rPr>
      </w:pPr>
      <w:r>
        <w:rPr>
          <w:rFonts w:hint="eastAsia" w:cs="宋体"/>
          <w:color w:val="000000" w:themeColor="text1"/>
          <w:sz w:val="28"/>
          <w:szCs w:val="28"/>
        </w:rPr>
        <w:t>七、其他材料</w:t>
      </w:r>
    </w:p>
    <w:p w14:paraId="4B6DE7D2">
      <w:pPr>
        <w:spacing w:before="120" w:beforeLines="50" w:after="120" w:afterLines="50"/>
        <w:rPr>
          <w:rFonts w:cs="宋体"/>
          <w:color w:val="000000" w:themeColor="text1"/>
          <w:sz w:val="28"/>
          <w:szCs w:val="28"/>
        </w:rPr>
      </w:pPr>
    </w:p>
    <w:p w14:paraId="14543949">
      <w:pPr>
        <w:spacing w:before="120" w:beforeLines="50" w:after="120" w:afterLines="50"/>
        <w:rPr>
          <w:color w:val="000000" w:themeColor="text1"/>
          <w:sz w:val="28"/>
          <w:szCs w:val="28"/>
        </w:rPr>
      </w:pPr>
    </w:p>
    <w:p w14:paraId="1DE691FC">
      <w:pPr>
        <w:spacing w:line="360" w:lineRule="auto"/>
        <w:rPr>
          <w:color w:val="000000" w:themeColor="text1"/>
          <w:sz w:val="24"/>
          <w:szCs w:val="24"/>
        </w:rPr>
        <w:sectPr>
          <w:pgSz w:w="11906" w:h="16838"/>
          <w:pgMar w:top="1389" w:right="1474" w:bottom="1389" w:left="1644" w:header="851" w:footer="992" w:gutter="0"/>
          <w:cols w:space="720" w:num="1"/>
          <w:docGrid w:linePitch="312" w:charSpace="0"/>
        </w:sectPr>
      </w:pPr>
    </w:p>
    <w:p w14:paraId="56182F78">
      <w:pPr>
        <w:spacing w:before="120" w:beforeLines="50" w:after="120" w:afterLines="50"/>
        <w:jc w:val="center"/>
        <w:rPr>
          <w:color w:val="000000" w:themeColor="text1"/>
          <w:sz w:val="32"/>
          <w:szCs w:val="32"/>
        </w:rPr>
      </w:pPr>
      <w:r>
        <w:rPr>
          <w:rFonts w:hint="eastAsia" w:cs="黑体"/>
          <w:color w:val="000000" w:themeColor="text1"/>
          <w:sz w:val="32"/>
          <w:szCs w:val="32"/>
        </w:rPr>
        <w:t>一、投标函及投标函附录</w:t>
      </w:r>
    </w:p>
    <w:p w14:paraId="050FF430">
      <w:pPr>
        <w:spacing w:before="120" w:beforeLines="50" w:after="120" w:afterLines="50"/>
        <w:jc w:val="center"/>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color w:val="000000" w:themeColor="text1"/>
          <w:sz w:val="28"/>
          <w:szCs w:val="28"/>
        </w:rPr>
        <w:t>(一)投标函</w:t>
      </w:r>
    </w:p>
    <w:p w14:paraId="17F285B9">
      <w:pPr>
        <w:spacing w:line="360" w:lineRule="auto"/>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u w:val="single"/>
        </w:rPr>
        <w:t>南通市港航事业发展中心</w:t>
      </w:r>
      <w:r>
        <w:rPr>
          <w:rFonts w:hint="eastAsia" w:asciiTheme="minorEastAsia" w:hAnsiTheme="minorEastAsia" w:eastAsiaTheme="minorEastAsia" w:cstheme="minorEastAsia"/>
          <w:color w:val="000000" w:themeColor="text1"/>
        </w:rPr>
        <w:t>：</w:t>
      </w:r>
    </w:p>
    <w:p w14:paraId="4953CBA9">
      <w:pPr>
        <w:wordWrap w:val="0"/>
        <w:spacing w:line="360" w:lineRule="auto"/>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1、我方已仔细研究招标文件的全部内容(含补遗书第___号至第___号)，在考察工程现场后，愿意以投标文件第二个信封（报价文件）中的投标总报价，按合同约定实施和完成承包工程，修补工程中的任何缺陷。</w:t>
      </w:r>
    </w:p>
    <w:p w14:paraId="5E727F7B">
      <w:pPr>
        <w:spacing w:line="360" w:lineRule="auto"/>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2、我方承诺在投标有效期内不修改、撤销投标文件。</w:t>
      </w:r>
    </w:p>
    <w:p w14:paraId="2C66992F">
      <w:pPr>
        <w:spacing w:line="360" w:lineRule="auto"/>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3．工程质量：</w:t>
      </w:r>
      <w:r>
        <w:rPr>
          <w:rFonts w:hint="eastAsia" w:asciiTheme="minorEastAsia" w:hAnsiTheme="minorEastAsia" w:eastAsiaTheme="minorEastAsia" w:cstheme="minorEastAsia"/>
          <w:color w:val="000000" w:themeColor="text1"/>
          <w:u w:val="single"/>
          <w:lang w:val="en-US" w:eastAsia="zh-CN"/>
        </w:rPr>
        <w:t xml:space="preserve">   </w:t>
      </w:r>
      <w:r>
        <w:rPr>
          <w:rFonts w:hint="eastAsia" w:asciiTheme="minorEastAsia" w:hAnsiTheme="minorEastAsia" w:eastAsiaTheme="minorEastAsia" w:cstheme="minorEastAsia"/>
          <w:color w:val="000000" w:themeColor="text1"/>
          <w:u w:val="single"/>
        </w:rPr>
        <w:t xml:space="preserve"> </w:t>
      </w:r>
      <w:r>
        <w:rPr>
          <w:rFonts w:hint="eastAsia" w:asciiTheme="minorEastAsia" w:hAnsiTheme="minorEastAsia" w:eastAsiaTheme="minorEastAsia" w:cstheme="minorEastAsia"/>
          <w:color w:val="000000" w:themeColor="text1"/>
        </w:rPr>
        <w:t>，工期：</w:t>
      </w:r>
      <w:r>
        <w:rPr>
          <w:rFonts w:hint="eastAsia" w:asciiTheme="minorEastAsia" w:hAnsiTheme="minorEastAsia" w:eastAsiaTheme="minorEastAsia" w:cstheme="minorEastAsia"/>
          <w:color w:val="000000" w:themeColor="text1"/>
          <w:u w:val="single"/>
          <w:lang w:val="en-US" w:eastAsia="zh-CN"/>
        </w:rPr>
        <w:t xml:space="preserve">   </w:t>
      </w:r>
      <w:r>
        <w:rPr>
          <w:rFonts w:hint="eastAsia" w:asciiTheme="minorEastAsia" w:hAnsiTheme="minorEastAsia" w:eastAsiaTheme="minorEastAsia" w:cstheme="minorEastAsia"/>
          <w:color w:val="000000" w:themeColor="text1"/>
          <w:u w:val="single"/>
        </w:rPr>
        <w:t xml:space="preserve"> </w:t>
      </w:r>
      <w:r>
        <w:rPr>
          <w:rFonts w:hint="eastAsia" w:asciiTheme="minorEastAsia" w:hAnsiTheme="minorEastAsia" w:eastAsiaTheme="minorEastAsia" w:cstheme="minorEastAsia"/>
          <w:color w:val="000000" w:themeColor="text1"/>
        </w:rPr>
        <w:t>，安全目标：</w:t>
      </w:r>
      <w:r>
        <w:rPr>
          <w:rFonts w:hint="eastAsia" w:asciiTheme="minorEastAsia" w:hAnsiTheme="minorEastAsia" w:eastAsiaTheme="minorEastAsia" w:cstheme="minorEastAsia"/>
          <w:color w:val="000000" w:themeColor="text1"/>
          <w:u w:val="single"/>
          <w:lang w:val="en-US" w:eastAsia="zh-CN"/>
        </w:rPr>
        <w:t xml:space="preserve">   </w:t>
      </w:r>
      <w:r>
        <w:rPr>
          <w:rFonts w:hint="eastAsia" w:asciiTheme="minorEastAsia" w:hAnsiTheme="minorEastAsia" w:eastAsiaTheme="minorEastAsia" w:cstheme="minorEastAsia"/>
          <w:color w:val="000000" w:themeColor="text1"/>
          <w:u w:val="single"/>
        </w:rPr>
        <w:t xml:space="preserve"> </w:t>
      </w:r>
      <w:r>
        <w:rPr>
          <w:rFonts w:hint="eastAsia" w:asciiTheme="minorEastAsia" w:hAnsiTheme="minorEastAsia" w:eastAsiaTheme="minorEastAsia" w:cstheme="minorEastAsia"/>
          <w:color w:val="000000" w:themeColor="text1"/>
        </w:rPr>
        <w:t>。</w:t>
      </w:r>
    </w:p>
    <w:p w14:paraId="229623DA">
      <w:pPr>
        <w:spacing w:line="360" w:lineRule="auto"/>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4．如我方中标，我方承诺：</w:t>
      </w:r>
    </w:p>
    <w:p w14:paraId="78A16700">
      <w:pPr>
        <w:spacing w:line="360" w:lineRule="auto"/>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（1）在收到中标通知书后，在中标通知书规定的期限内与你方签订合同；</w:t>
      </w:r>
    </w:p>
    <w:p w14:paraId="4E36E576">
      <w:pPr>
        <w:spacing w:line="360" w:lineRule="auto"/>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（2）在签订合同时不向你方提出附加条件；</w:t>
      </w:r>
    </w:p>
    <w:p w14:paraId="5D4447E8">
      <w:pPr>
        <w:spacing w:line="360" w:lineRule="auto"/>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（3）按照招标文件要求提交履约保证金；</w:t>
      </w:r>
    </w:p>
    <w:p w14:paraId="3170F23C">
      <w:pPr>
        <w:spacing w:line="360" w:lineRule="auto"/>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（4）在合同约定的期限内完成合同规定的全部义务；</w:t>
      </w:r>
    </w:p>
    <w:p w14:paraId="0C6056C1">
      <w:pPr>
        <w:spacing w:line="360" w:lineRule="auto"/>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5）在你方和我方进行合同谈判之前，我方将按照合同附件提出的最低要求填报派驻本标段的其他管理和技术人员及主要机械设备和试验检测设备，经你方审批后作为派驻本标段的项目管理机构主要人员和主要设备且不进行更换。如我方拟派驻的人员和设备不满足合同附件要求，你方有权取消我方中标资格。</w:t>
      </w:r>
    </w:p>
    <w:p w14:paraId="507DD304">
      <w:pPr>
        <w:spacing w:line="360" w:lineRule="auto"/>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5．我方在此声明，所递交的投标文件及有关资料内容完整、真实和准确，且不存在招标文件第二章“投标人须知”第 1.4.3 项和第 1.4.4 项规定的任何一种情形。</w:t>
      </w:r>
    </w:p>
    <w:p w14:paraId="6D8417C6">
      <w:pPr>
        <w:spacing w:line="360" w:lineRule="auto"/>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 xml:space="preserve"> 6．在合同协议书正式签署生效之前，本投标函连同你方的中标通知书将构成我们双方之间共同遵守的文件，对双方具有约束力。</w:t>
      </w:r>
    </w:p>
    <w:p w14:paraId="4BB706B7">
      <w:pPr>
        <w:spacing w:line="360" w:lineRule="auto"/>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 xml:space="preserve"> 7．</w:t>
      </w:r>
      <w:r>
        <w:rPr>
          <w:rFonts w:hint="eastAsia" w:asciiTheme="minorEastAsia" w:hAnsiTheme="minorEastAsia" w:eastAsiaTheme="minorEastAsia" w:cstheme="minorEastAsia"/>
          <w:color w:val="000000" w:themeColor="text1"/>
          <w:u w:val="single"/>
        </w:rPr>
        <w:t>（其他补充说明）。</w:t>
      </w:r>
    </w:p>
    <w:p w14:paraId="7DDD88D8">
      <w:pPr>
        <w:wordWrap w:val="0"/>
        <w:spacing w:line="360" w:lineRule="auto"/>
        <w:jc w:val="right"/>
        <w:rPr>
          <w:rFonts w:asciiTheme="minorEastAsia" w:hAnsiTheme="minorEastAsia" w:eastAsiaTheme="minorEastAsia" w:cstheme="minorEastAsia"/>
          <w:color w:val="000000" w:themeColor="text1"/>
        </w:rPr>
      </w:pPr>
    </w:p>
    <w:p w14:paraId="7918C56B">
      <w:pPr>
        <w:wordWrap w:val="0"/>
        <w:spacing w:line="360" w:lineRule="auto"/>
        <w:jc w:val="righ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投标人：</w:t>
      </w:r>
      <w:r>
        <w:rPr>
          <w:rFonts w:hint="eastAsia" w:asciiTheme="minorEastAsia" w:hAnsiTheme="minorEastAsia" w:eastAsiaTheme="minorEastAsia" w:cstheme="minorEastAsia"/>
          <w:color w:val="000000" w:themeColor="text1"/>
          <w:u w:val="single"/>
        </w:rPr>
        <w:t xml:space="preserve">           (盖单位章)</w:t>
      </w:r>
    </w:p>
    <w:p w14:paraId="1D74FE6E">
      <w:pPr>
        <w:wordWrap w:val="0"/>
        <w:spacing w:line="360" w:lineRule="auto"/>
        <w:jc w:val="righ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法定代表人或委托代理人：</w:t>
      </w:r>
      <w:r>
        <w:rPr>
          <w:rFonts w:hint="eastAsia" w:asciiTheme="minorEastAsia" w:hAnsiTheme="minorEastAsia" w:eastAsiaTheme="minorEastAsia" w:cstheme="minorEastAsia"/>
          <w:color w:val="000000" w:themeColor="text1"/>
          <w:u w:val="single"/>
        </w:rPr>
        <w:t xml:space="preserve">      (亲笔签名或盖章)</w:t>
      </w:r>
    </w:p>
    <w:p w14:paraId="67C410AD">
      <w:pPr>
        <w:wordWrap w:val="0"/>
        <w:spacing w:line="360" w:lineRule="auto"/>
        <w:jc w:val="righ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地址：</w:t>
      </w:r>
    </w:p>
    <w:p w14:paraId="4FFA2501">
      <w:pPr>
        <w:wordWrap w:val="0"/>
        <w:spacing w:line="360" w:lineRule="auto"/>
        <w:jc w:val="righ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电话：</w:t>
      </w:r>
    </w:p>
    <w:p w14:paraId="06CBE927">
      <w:pPr>
        <w:wordWrap w:val="0"/>
        <w:spacing w:line="360" w:lineRule="auto"/>
        <w:jc w:val="righ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 xml:space="preserve"> 传真：</w:t>
      </w:r>
    </w:p>
    <w:p w14:paraId="70B15F9F">
      <w:pPr>
        <w:wordWrap w:val="0"/>
        <w:spacing w:line="360" w:lineRule="auto"/>
        <w:jc w:val="righ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邮编：___</w:t>
      </w:r>
    </w:p>
    <w:p w14:paraId="4E910ED0">
      <w:pPr>
        <w:tabs>
          <w:tab w:val="left" w:pos="9128"/>
        </w:tabs>
        <w:wordWrap w:val="0"/>
        <w:spacing w:line="360" w:lineRule="auto"/>
        <w:ind w:right="-52"/>
        <w:jc w:val="right"/>
        <w:rPr>
          <w:color w:val="000000" w:themeColor="text1"/>
          <w:sz w:val="24"/>
          <w:szCs w:val="24"/>
        </w:rPr>
      </w:pPr>
      <w:r>
        <w:rPr>
          <w:rFonts w:hint="eastAsia" w:asciiTheme="minorEastAsia" w:hAnsiTheme="minorEastAsia" w:eastAsiaTheme="minorEastAsia" w:cstheme="minorEastAsia"/>
          <w:color w:val="000000" w:themeColor="text1"/>
        </w:rPr>
        <w:t xml:space="preserve">年___月___日 </w:t>
      </w:r>
    </w:p>
    <w:p w14:paraId="58BA7008">
      <w:pPr>
        <w:wordWrap w:val="0"/>
        <w:spacing w:line="360" w:lineRule="auto"/>
        <w:jc w:val="right"/>
        <w:rPr>
          <w:color w:val="000000" w:themeColor="text1"/>
          <w:sz w:val="24"/>
          <w:szCs w:val="24"/>
        </w:rPr>
        <w:sectPr>
          <w:pgSz w:w="11906" w:h="16838"/>
          <w:pgMar w:top="993" w:right="1474" w:bottom="993" w:left="1644" w:header="851" w:footer="613" w:gutter="0"/>
          <w:cols w:space="720" w:num="1"/>
          <w:docGrid w:linePitch="312" w:charSpace="0"/>
        </w:sectPr>
      </w:pPr>
    </w:p>
    <w:p w14:paraId="268E8B19">
      <w:pPr>
        <w:spacing w:before="120" w:beforeLines="50" w:after="120" w:afterLines="50"/>
        <w:jc w:val="center"/>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color w:val="000000" w:themeColor="text1"/>
          <w:sz w:val="28"/>
          <w:szCs w:val="28"/>
        </w:rPr>
        <w:t>(二)投标函附录</w:t>
      </w:r>
    </w:p>
    <w:tbl>
      <w:tblPr>
        <w:tblStyle w:val="48"/>
        <w:tblW w:w="9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2528"/>
        <w:gridCol w:w="1359"/>
        <w:gridCol w:w="3398"/>
        <w:gridCol w:w="1019"/>
      </w:tblGrid>
      <w:tr w14:paraId="6DF6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00" w:type="dxa"/>
            <w:vAlign w:val="center"/>
          </w:tcPr>
          <w:p w14:paraId="6F9A34BE">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序号</w:t>
            </w:r>
          </w:p>
        </w:tc>
        <w:tc>
          <w:tcPr>
            <w:tcW w:w="2528" w:type="dxa"/>
            <w:vAlign w:val="center"/>
          </w:tcPr>
          <w:p w14:paraId="3FFA30DF">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条款名称</w:t>
            </w:r>
          </w:p>
        </w:tc>
        <w:tc>
          <w:tcPr>
            <w:tcW w:w="1359" w:type="dxa"/>
            <w:vAlign w:val="center"/>
          </w:tcPr>
          <w:p w14:paraId="616C62E3">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合同条款</w:t>
            </w:r>
          </w:p>
        </w:tc>
        <w:tc>
          <w:tcPr>
            <w:tcW w:w="3398" w:type="dxa"/>
            <w:vAlign w:val="center"/>
          </w:tcPr>
          <w:p w14:paraId="03AAB722">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约定内容</w:t>
            </w:r>
          </w:p>
        </w:tc>
        <w:tc>
          <w:tcPr>
            <w:tcW w:w="1019" w:type="dxa"/>
            <w:vAlign w:val="center"/>
          </w:tcPr>
          <w:p w14:paraId="573FFB14">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备注</w:t>
            </w:r>
          </w:p>
        </w:tc>
      </w:tr>
      <w:tr w14:paraId="07B48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00" w:type="dxa"/>
            <w:vAlign w:val="center"/>
          </w:tcPr>
          <w:p w14:paraId="7295B062">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w:t>
            </w:r>
          </w:p>
        </w:tc>
        <w:tc>
          <w:tcPr>
            <w:tcW w:w="2528" w:type="dxa"/>
            <w:vAlign w:val="center"/>
          </w:tcPr>
          <w:p w14:paraId="306AB5F0">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缺陷责任期</w:t>
            </w:r>
          </w:p>
        </w:tc>
        <w:tc>
          <w:tcPr>
            <w:tcW w:w="1359" w:type="dxa"/>
            <w:vAlign w:val="center"/>
          </w:tcPr>
          <w:p w14:paraId="5869D6BA">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1.1.4.5</w:t>
            </w:r>
          </w:p>
        </w:tc>
        <w:tc>
          <w:tcPr>
            <w:tcW w:w="3398" w:type="dxa"/>
            <w:vAlign w:val="center"/>
          </w:tcPr>
          <w:p w14:paraId="63921D3C">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自实际验收合格之日起24个月</w:t>
            </w:r>
          </w:p>
        </w:tc>
        <w:tc>
          <w:tcPr>
            <w:tcW w:w="1019" w:type="dxa"/>
            <w:vAlign w:val="center"/>
          </w:tcPr>
          <w:p w14:paraId="65F9F62A">
            <w:pPr>
              <w:rPr>
                <w:rFonts w:asciiTheme="minorEastAsia" w:hAnsiTheme="minorEastAsia" w:eastAsiaTheme="minorEastAsia" w:cstheme="minorEastAsia"/>
                <w:color w:val="000000" w:themeColor="text1"/>
              </w:rPr>
            </w:pPr>
          </w:p>
        </w:tc>
      </w:tr>
      <w:tr w14:paraId="3952B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00" w:type="dxa"/>
            <w:vAlign w:val="center"/>
          </w:tcPr>
          <w:p w14:paraId="64AC5C3E">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2</w:t>
            </w:r>
          </w:p>
        </w:tc>
        <w:tc>
          <w:tcPr>
            <w:tcW w:w="2528" w:type="dxa"/>
            <w:vAlign w:val="center"/>
          </w:tcPr>
          <w:p w14:paraId="2B61CBA2">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逾期交工违约金</w:t>
            </w:r>
          </w:p>
        </w:tc>
        <w:tc>
          <w:tcPr>
            <w:tcW w:w="1359" w:type="dxa"/>
            <w:vAlign w:val="center"/>
          </w:tcPr>
          <w:p w14:paraId="22505998">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11.5</w:t>
            </w:r>
          </w:p>
        </w:tc>
        <w:tc>
          <w:tcPr>
            <w:tcW w:w="3398" w:type="dxa"/>
            <w:vAlign w:val="center"/>
          </w:tcPr>
          <w:p w14:paraId="6DFB747B">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u w:val="single"/>
              </w:rPr>
              <w:t>500</w:t>
            </w:r>
            <w:r>
              <w:rPr>
                <w:rFonts w:hint="eastAsia" w:asciiTheme="minorEastAsia" w:hAnsiTheme="minorEastAsia" w:eastAsiaTheme="minorEastAsia" w:cstheme="minorEastAsia"/>
                <w:color w:val="000000" w:themeColor="text1"/>
              </w:rPr>
              <w:t>元/天</w:t>
            </w:r>
          </w:p>
        </w:tc>
        <w:tc>
          <w:tcPr>
            <w:tcW w:w="1019" w:type="dxa"/>
            <w:vAlign w:val="center"/>
          </w:tcPr>
          <w:p w14:paraId="4A4D3CB2">
            <w:pPr>
              <w:rPr>
                <w:rFonts w:asciiTheme="minorEastAsia" w:hAnsiTheme="minorEastAsia" w:eastAsiaTheme="minorEastAsia" w:cstheme="minorEastAsia"/>
                <w:color w:val="000000" w:themeColor="text1"/>
              </w:rPr>
            </w:pPr>
          </w:p>
        </w:tc>
      </w:tr>
      <w:tr w14:paraId="7C3DE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00" w:type="dxa"/>
            <w:vAlign w:val="center"/>
          </w:tcPr>
          <w:p w14:paraId="68E94927">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3</w:t>
            </w:r>
          </w:p>
        </w:tc>
        <w:tc>
          <w:tcPr>
            <w:tcW w:w="2528" w:type="dxa"/>
            <w:vAlign w:val="center"/>
          </w:tcPr>
          <w:p w14:paraId="2B899755">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逾期交工违约金限额</w:t>
            </w:r>
          </w:p>
        </w:tc>
        <w:tc>
          <w:tcPr>
            <w:tcW w:w="1359" w:type="dxa"/>
            <w:vAlign w:val="center"/>
          </w:tcPr>
          <w:p w14:paraId="674F3F46">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11.5</w:t>
            </w:r>
          </w:p>
        </w:tc>
        <w:tc>
          <w:tcPr>
            <w:tcW w:w="3398" w:type="dxa"/>
            <w:vAlign w:val="center"/>
          </w:tcPr>
          <w:p w14:paraId="7446355F">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u w:val="single"/>
              </w:rPr>
              <w:t>10</w:t>
            </w:r>
            <w:r>
              <w:rPr>
                <w:rFonts w:hint="eastAsia" w:asciiTheme="minorEastAsia" w:hAnsiTheme="minorEastAsia" w:eastAsiaTheme="minorEastAsia" w:cstheme="minorEastAsia"/>
                <w:color w:val="000000" w:themeColor="text1"/>
              </w:rPr>
              <w:t>%签约合同价</w:t>
            </w:r>
          </w:p>
        </w:tc>
        <w:tc>
          <w:tcPr>
            <w:tcW w:w="1019" w:type="dxa"/>
            <w:vAlign w:val="center"/>
          </w:tcPr>
          <w:p w14:paraId="42820E6A">
            <w:pPr>
              <w:rPr>
                <w:rFonts w:asciiTheme="minorEastAsia" w:hAnsiTheme="minorEastAsia" w:eastAsiaTheme="minorEastAsia" w:cstheme="minorEastAsia"/>
                <w:color w:val="000000" w:themeColor="text1"/>
              </w:rPr>
            </w:pPr>
          </w:p>
        </w:tc>
      </w:tr>
      <w:tr w14:paraId="20534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00" w:type="dxa"/>
            <w:vAlign w:val="center"/>
          </w:tcPr>
          <w:p w14:paraId="5A7FF325">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4</w:t>
            </w:r>
          </w:p>
        </w:tc>
        <w:tc>
          <w:tcPr>
            <w:tcW w:w="2528" w:type="dxa"/>
            <w:vAlign w:val="center"/>
          </w:tcPr>
          <w:p w14:paraId="01FED510">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提前交工的奖金</w:t>
            </w:r>
          </w:p>
        </w:tc>
        <w:tc>
          <w:tcPr>
            <w:tcW w:w="1359" w:type="dxa"/>
            <w:vAlign w:val="center"/>
          </w:tcPr>
          <w:p w14:paraId="2F19183C">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11.6</w:t>
            </w:r>
          </w:p>
        </w:tc>
        <w:tc>
          <w:tcPr>
            <w:tcW w:w="3398" w:type="dxa"/>
            <w:vAlign w:val="center"/>
          </w:tcPr>
          <w:p w14:paraId="7521BEAB">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无</w:t>
            </w:r>
          </w:p>
        </w:tc>
        <w:tc>
          <w:tcPr>
            <w:tcW w:w="1019" w:type="dxa"/>
            <w:vAlign w:val="center"/>
          </w:tcPr>
          <w:p w14:paraId="27B24707">
            <w:pPr>
              <w:rPr>
                <w:rFonts w:asciiTheme="minorEastAsia" w:hAnsiTheme="minorEastAsia" w:eastAsiaTheme="minorEastAsia" w:cstheme="minorEastAsia"/>
                <w:color w:val="000000" w:themeColor="text1"/>
              </w:rPr>
            </w:pPr>
          </w:p>
        </w:tc>
      </w:tr>
      <w:tr w14:paraId="2C46B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00" w:type="dxa"/>
            <w:vAlign w:val="center"/>
          </w:tcPr>
          <w:p w14:paraId="1A84D356">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5</w:t>
            </w:r>
          </w:p>
        </w:tc>
        <w:tc>
          <w:tcPr>
            <w:tcW w:w="2528" w:type="dxa"/>
            <w:vAlign w:val="center"/>
          </w:tcPr>
          <w:p w14:paraId="57C8D4B6">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提前交工的奖金限额</w:t>
            </w:r>
          </w:p>
        </w:tc>
        <w:tc>
          <w:tcPr>
            <w:tcW w:w="1359" w:type="dxa"/>
            <w:vAlign w:val="center"/>
          </w:tcPr>
          <w:p w14:paraId="4903C12D">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11.6</w:t>
            </w:r>
          </w:p>
        </w:tc>
        <w:tc>
          <w:tcPr>
            <w:tcW w:w="3398" w:type="dxa"/>
            <w:vAlign w:val="center"/>
          </w:tcPr>
          <w:p w14:paraId="59514152">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无</w:t>
            </w:r>
          </w:p>
        </w:tc>
        <w:tc>
          <w:tcPr>
            <w:tcW w:w="1019" w:type="dxa"/>
            <w:vAlign w:val="center"/>
          </w:tcPr>
          <w:p w14:paraId="06C22D8E">
            <w:pPr>
              <w:rPr>
                <w:rFonts w:asciiTheme="minorEastAsia" w:hAnsiTheme="minorEastAsia" w:eastAsiaTheme="minorEastAsia" w:cstheme="minorEastAsia"/>
                <w:color w:val="000000" w:themeColor="text1"/>
                <w:vertAlign w:val="superscript"/>
              </w:rPr>
            </w:pPr>
          </w:p>
        </w:tc>
      </w:tr>
      <w:tr w14:paraId="4F43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00" w:type="dxa"/>
            <w:vAlign w:val="center"/>
          </w:tcPr>
          <w:p w14:paraId="3D7C522B">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6</w:t>
            </w:r>
          </w:p>
        </w:tc>
        <w:tc>
          <w:tcPr>
            <w:tcW w:w="2528" w:type="dxa"/>
            <w:vAlign w:val="center"/>
          </w:tcPr>
          <w:p w14:paraId="3AB7F87E">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价格调整的差额计算</w:t>
            </w:r>
          </w:p>
        </w:tc>
        <w:tc>
          <w:tcPr>
            <w:tcW w:w="1359" w:type="dxa"/>
            <w:vAlign w:val="center"/>
          </w:tcPr>
          <w:p w14:paraId="04E85D83">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16.1</w:t>
            </w:r>
          </w:p>
        </w:tc>
        <w:tc>
          <w:tcPr>
            <w:tcW w:w="3398" w:type="dxa"/>
            <w:vAlign w:val="center"/>
          </w:tcPr>
          <w:p w14:paraId="31ADAABD">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按合同项目专用条款第16.1项执行</w:t>
            </w:r>
          </w:p>
        </w:tc>
        <w:tc>
          <w:tcPr>
            <w:tcW w:w="1019" w:type="dxa"/>
            <w:vAlign w:val="center"/>
          </w:tcPr>
          <w:p w14:paraId="0388B428">
            <w:pPr>
              <w:rPr>
                <w:rFonts w:asciiTheme="minorEastAsia" w:hAnsiTheme="minorEastAsia" w:eastAsiaTheme="minorEastAsia" w:cstheme="minorEastAsia"/>
                <w:color w:val="000000" w:themeColor="text1"/>
              </w:rPr>
            </w:pPr>
          </w:p>
        </w:tc>
      </w:tr>
      <w:tr w14:paraId="3C85B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00" w:type="dxa"/>
            <w:vAlign w:val="center"/>
          </w:tcPr>
          <w:p w14:paraId="11638276">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7</w:t>
            </w:r>
          </w:p>
        </w:tc>
        <w:tc>
          <w:tcPr>
            <w:tcW w:w="2528" w:type="dxa"/>
            <w:vAlign w:val="center"/>
          </w:tcPr>
          <w:p w14:paraId="79E8B7FF">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开工预付款金额</w:t>
            </w:r>
          </w:p>
        </w:tc>
        <w:tc>
          <w:tcPr>
            <w:tcW w:w="1359" w:type="dxa"/>
            <w:vAlign w:val="center"/>
          </w:tcPr>
          <w:p w14:paraId="7FF5BEB1">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17.2.1</w:t>
            </w:r>
          </w:p>
        </w:tc>
        <w:tc>
          <w:tcPr>
            <w:tcW w:w="3398" w:type="dxa"/>
            <w:vAlign w:val="center"/>
          </w:tcPr>
          <w:p w14:paraId="686C12F9">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w:t>
            </w:r>
          </w:p>
        </w:tc>
        <w:tc>
          <w:tcPr>
            <w:tcW w:w="1019" w:type="dxa"/>
            <w:vAlign w:val="center"/>
          </w:tcPr>
          <w:p w14:paraId="6C9AAE39">
            <w:pPr>
              <w:rPr>
                <w:rFonts w:asciiTheme="minorEastAsia" w:hAnsiTheme="minorEastAsia" w:eastAsiaTheme="minorEastAsia" w:cstheme="minorEastAsia"/>
                <w:color w:val="000000" w:themeColor="text1"/>
              </w:rPr>
            </w:pPr>
          </w:p>
        </w:tc>
      </w:tr>
      <w:tr w14:paraId="3F01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00" w:type="dxa"/>
            <w:vAlign w:val="center"/>
          </w:tcPr>
          <w:p w14:paraId="2629AEFF">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8</w:t>
            </w:r>
          </w:p>
        </w:tc>
        <w:tc>
          <w:tcPr>
            <w:tcW w:w="2528" w:type="dxa"/>
            <w:vAlign w:val="center"/>
          </w:tcPr>
          <w:p w14:paraId="5912FE0C">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材料、设备预付款</w:t>
            </w:r>
          </w:p>
        </w:tc>
        <w:tc>
          <w:tcPr>
            <w:tcW w:w="1359" w:type="dxa"/>
            <w:vAlign w:val="center"/>
          </w:tcPr>
          <w:p w14:paraId="5E11FADE">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17.2.1</w:t>
            </w:r>
          </w:p>
        </w:tc>
        <w:tc>
          <w:tcPr>
            <w:tcW w:w="3398" w:type="dxa"/>
            <w:vAlign w:val="center"/>
          </w:tcPr>
          <w:p w14:paraId="0E7337F5">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无。</w:t>
            </w:r>
          </w:p>
        </w:tc>
        <w:tc>
          <w:tcPr>
            <w:tcW w:w="1019" w:type="dxa"/>
            <w:vAlign w:val="center"/>
          </w:tcPr>
          <w:p w14:paraId="4BD2B3A8">
            <w:pPr>
              <w:rPr>
                <w:rFonts w:asciiTheme="minorEastAsia" w:hAnsiTheme="minorEastAsia" w:eastAsiaTheme="minorEastAsia" w:cstheme="minorEastAsia"/>
                <w:color w:val="000000" w:themeColor="text1"/>
              </w:rPr>
            </w:pPr>
          </w:p>
        </w:tc>
      </w:tr>
      <w:tr w14:paraId="0C4E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00" w:type="dxa"/>
            <w:vAlign w:val="center"/>
          </w:tcPr>
          <w:p w14:paraId="5786FC16">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9</w:t>
            </w:r>
          </w:p>
        </w:tc>
        <w:tc>
          <w:tcPr>
            <w:tcW w:w="2528" w:type="dxa"/>
            <w:vAlign w:val="center"/>
          </w:tcPr>
          <w:p w14:paraId="12BC9C35">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进度付款证书最低限额</w:t>
            </w:r>
          </w:p>
        </w:tc>
        <w:tc>
          <w:tcPr>
            <w:tcW w:w="1359" w:type="dxa"/>
            <w:vAlign w:val="center"/>
          </w:tcPr>
          <w:p w14:paraId="526C2565">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17.3.3(1)</w:t>
            </w:r>
          </w:p>
        </w:tc>
        <w:tc>
          <w:tcPr>
            <w:tcW w:w="3398" w:type="dxa"/>
            <w:vAlign w:val="center"/>
          </w:tcPr>
          <w:p w14:paraId="3BCBE285">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/万元</w:t>
            </w:r>
          </w:p>
        </w:tc>
        <w:tc>
          <w:tcPr>
            <w:tcW w:w="1019" w:type="dxa"/>
            <w:vAlign w:val="center"/>
          </w:tcPr>
          <w:p w14:paraId="030A0D3C">
            <w:pPr>
              <w:rPr>
                <w:rFonts w:asciiTheme="minorEastAsia" w:hAnsiTheme="minorEastAsia" w:eastAsiaTheme="minorEastAsia" w:cstheme="minorEastAsia"/>
                <w:color w:val="000000" w:themeColor="text1"/>
              </w:rPr>
            </w:pPr>
          </w:p>
        </w:tc>
      </w:tr>
      <w:tr w14:paraId="5BEF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00" w:type="dxa"/>
            <w:vAlign w:val="center"/>
          </w:tcPr>
          <w:p w14:paraId="2ACDE67E">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10</w:t>
            </w:r>
          </w:p>
        </w:tc>
        <w:tc>
          <w:tcPr>
            <w:tcW w:w="2528" w:type="dxa"/>
            <w:vAlign w:val="center"/>
          </w:tcPr>
          <w:p w14:paraId="6544CFBA">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逾期付款违约金的利率</w:t>
            </w:r>
          </w:p>
        </w:tc>
        <w:tc>
          <w:tcPr>
            <w:tcW w:w="1359" w:type="dxa"/>
            <w:vAlign w:val="center"/>
          </w:tcPr>
          <w:p w14:paraId="75A7FA00">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17.3.3(2)</w:t>
            </w:r>
          </w:p>
        </w:tc>
        <w:tc>
          <w:tcPr>
            <w:tcW w:w="3398" w:type="dxa"/>
            <w:vAlign w:val="center"/>
          </w:tcPr>
          <w:p w14:paraId="61F7CB1B">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中国人民银行发布的同期六个月以内（含六个月）短期贷款基准利率（不计复利）加手续费</w:t>
            </w:r>
          </w:p>
        </w:tc>
        <w:tc>
          <w:tcPr>
            <w:tcW w:w="1019" w:type="dxa"/>
            <w:vAlign w:val="center"/>
          </w:tcPr>
          <w:p w14:paraId="67405B0E">
            <w:pPr>
              <w:rPr>
                <w:rFonts w:asciiTheme="minorEastAsia" w:hAnsiTheme="minorEastAsia" w:eastAsiaTheme="minorEastAsia" w:cstheme="minorEastAsia"/>
                <w:color w:val="000000" w:themeColor="text1"/>
              </w:rPr>
            </w:pPr>
          </w:p>
        </w:tc>
      </w:tr>
      <w:tr w14:paraId="07D70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00" w:type="dxa"/>
            <w:vAlign w:val="center"/>
          </w:tcPr>
          <w:p w14:paraId="6DDB8183">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11</w:t>
            </w:r>
          </w:p>
        </w:tc>
        <w:tc>
          <w:tcPr>
            <w:tcW w:w="2528" w:type="dxa"/>
            <w:vAlign w:val="center"/>
          </w:tcPr>
          <w:p w14:paraId="7AE8B840">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质量保证金限额</w:t>
            </w:r>
          </w:p>
        </w:tc>
        <w:tc>
          <w:tcPr>
            <w:tcW w:w="1359" w:type="dxa"/>
            <w:vAlign w:val="center"/>
          </w:tcPr>
          <w:p w14:paraId="25A61945">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17.4.1</w:t>
            </w:r>
          </w:p>
        </w:tc>
        <w:tc>
          <w:tcPr>
            <w:tcW w:w="3398" w:type="dxa"/>
            <w:vAlign w:val="center"/>
          </w:tcPr>
          <w:p w14:paraId="2160844A">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rPr>
              <w:t>/</w:t>
            </w:r>
          </w:p>
        </w:tc>
        <w:tc>
          <w:tcPr>
            <w:tcW w:w="1019" w:type="dxa"/>
            <w:vAlign w:val="center"/>
          </w:tcPr>
          <w:p w14:paraId="1D835393">
            <w:pPr>
              <w:rPr>
                <w:rFonts w:asciiTheme="minorEastAsia" w:hAnsiTheme="minorEastAsia" w:eastAsiaTheme="minorEastAsia" w:cstheme="minorEastAsia"/>
                <w:color w:val="000000" w:themeColor="text1"/>
              </w:rPr>
            </w:pPr>
          </w:p>
        </w:tc>
      </w:tr>
      <w:tr w14:paraId="02E42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00" w:type="dxa"/>
            <w:vAlign w:val="center"/>
          </w:tcPr>
          <w:p w14:paraId="6EA342A8">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12</w:t>
            </w:r>
          </w:p>
        </w:tc>
        <w:tc>
          <w:tcPr>
            <w:tcW w:w="2528" w:type="dxa"/>
            <w:vAlign w:val="center"/>
          </w:tcPr>
          <w:p w14:paraId="3B038666">
            <w:pP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保修期</w:t>
            </w:r>
          </w:p>
        </w:tc>
        <w:tc>
          <w:tcPr>
            <w:tcW w:w="1359" w:type="dxa"/>
            <w:vAlign w:val="center"/>
          </w:tcPr>
          <w:p w14:paraId="24AFBDC8">
            <w:pPr>
              <w:jc w:val="center"/>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19.7</w:t>
            </w:r>
          </w:p>
        </w:tc>
        <w:tc>
          <w:tcPr>
            <w:tcW w:w="3398" w:type="dxa"/>
            <w:vAlign w:val="center"/>
          </w:tcPr>
          <w:p w14:paraId="0BF43973">
            <w:pPr>
              <w:adjustRightInd w:val="0"/>
              <w:snapToGrid w:val="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自实际交工日期起计算：</w:t>
            </w:r>
          </w:p>
          <w:p w14:paraId="1955A67F">
            <w:pPr>
              <w:pStyle w:val="20"/>
              <w:adjustRightInd w:val="0"/>
              <w:snapToGrid w:val="0"/>
              <w:spacing w:after="0"/>
              <w:rPr>
                <w:rFonts w:asciiTheme="majorEastAsia" w:hAnsiTheme="majorEastAsia" w:eastAsiaTheme="majorEastAsia" w:cstheme="majorEastAsia"/>
                <w:color w:val="000000" w:themeColor="text1"/>
              </w:rPr>
            </w:pPr>
            <w:r>
              <w:rPr>
                <w:rFonts w:hint="eastAsia" w:asciiTheme="minorEastAsia" w:hAnsiTheme="minorEastAsia" w:eastAsiaTheme="minorEastAsia" w:cstheme="minorEastAsia"/>
                <w:color w:val="000000" w:themeColor="text1"/>
              </w:rPr>
              <w:t>(</w:t>
            </w:r>
            <w:r>
              <w:rPr>
                <w:rFonts w:hint="eastAsia" w:asciiTheme="majorEastAsia" w:hAnsiTheme="majorEastAsia" w:eastAsiaTheme="majorEastAsia" w:cstheme="majorEastAsia"/>
                <w:color w:val="000000" w:themeColor="text1"/>
              </w:rPr>
              <w:t>1)屋面防水工程、有防水要求的</w:t>
            </w:r>
          </w:p>
          <w:p w14:paraId="657D200C">
            <w:pPr>
              <w:pStyle w:val="20"/>
              <w:adjustRightInd w:val="0"/>
              <w:snapToGrid w:val="0"/>
              <w:spacing w:after="0"/>
              <w:rPr>
                <w:rFonts w:asciiTheme="majorEastAsia" w:hAnsiTheme="majorEastAsia" w:eastAsiaTheme="majorEastAsia" w:cstheme="majorEastAsia"/>
                <w:color w:val="000000" w:themeColor="text1"/>
              </w:rPr>
            </w:pPr>
            <w:r>
              <w:rPr>
                <w:rFonts w:hint="eastAsia" w:asciiTheme="majorEastAsia" w:hAnsiTheme="majorEastAsia" w:eastAsiaTheme="majorEastAsia" w:cstheme="majorEastAsia"/>
                <w:color w:val="000000" w:themeColor="text1"/>
              </w:rPr>
              <w:t>卫生间、房间和外墙面的防渗为5年;</w:t>
            </w:r>
          </w:p>
          <w:p w14:paraId="4FA26456">
            <w:pPr>
              <w:pStyle w:val="20"/>
              <w:adjustRightInd w:val="0"/>
              <w:snapToGrid w:val="0"/>
              <w:spacing w:after="0"/>
              <w:rPr>
                <w:rFonts w:asciiTheme="majorEastAsia" w:hAnsiTheme="majorEastAsia" w:eastAsiaTheme="majorEastAsia" w:cstheme="majorEastAsia"/>
                <w:color w:val="000000" w:themeColor="text1"/>
              </w:rPr>
            </w:pPr>
            <w:r>
              <w:rPr>
                <w:rFonts w:hint="eastAsia" w:asciiTheme="majorEastAsia" w:hAnsiTheme="majorEastAsia" w:eastAsiaTheme="majorEastAsia" w:cstheme="majorEastAsia"/>
                <w:color w:val="000000" w:themeColor="text1"/>
              </w:rPr>
              <w:t>(2)装修工程为2年;</w:t>
            </w:r>
          </w:p>
          <w:p w14:paraId="3D809E69">
            <w:pPr>
              <w:pStyle w:val="20"/>
              <w:adjustRightInd w:val="0"/>
              <w:snapToGrid w:val="0"/>
              <w:spacing w:after="0"/>
              <w:rPr>
                <w:rFonts w:asciiTheme="majorEastAsia" w:hAnsiTheme="majorEastAsia" w:eastAsiaTheme="majorEastAsia" w:cstheme="majorEastAsia"/>
                <w:color w:val="000000" w:themeColor="text1"/>
              </w:rPr>
            </w:pPr>
            <w:r>
              <w:rPr>
                <w:rFonts w:hint="eastAsia" w:asciiTheme="majorEastAsia" w:hAnsiTheme="majorEastAsia" w:eastAsiaTheme="majorEastAsia" w:cstheme="majorEastAsia"/>
                <w:color w:val="000000" w:themeColor="text1"/>
              </w:rPr>
              <w:t>(3)电气管线、给排水管道、设备</w:t>
            </w:r>
          </w:p>
          <w:p w14:paraId="582244B4">
            <w:pPr>
              <w:pStyle w:val="20"/>
              <w:adjustRightInd w:val="0"/>
              <w:snapToGrid w:val="0"/>
              <w:spacing w:after="0"/>
              <w:rPr>
                <w:rFonts w:asciiTheme="majorEastAsia" w:hAnsiTheme="majorEastAsia" w:eastAsiaTheme="majorEastAsia" w:cstheme="majorEastAsia"/>
                <w:color w:val="000000" w:themeColor="text1"/>
              </w:rPr>
            </w:pPr>
            <w:r>
              <w:rPr>
                <w:rFonts w:hint="eastAsia" w:asciiTheme="majorEastAsia" w:hAnsiTheme="majorEastAsia" w:eastAsiaTheme="majorEastAsia" w:cstheme="majorEastAsia"/>
                <w:color w:val="000000" w:themeColor="text1"/>
              </w:rPr>
              <w:t>安装工程为2年;</w:t>
            </w:r>
          </w:p>
          <w:p w14:paraId="306FB2E7">
            <w:pPr>
              <w:pStyle w:val="20"/>
              <w:adjustRightInd w:val="0"/>
              <w:snapToGrid w:val="0"/>
              <w:spacing w:after="0"/>
              <w:rPr>
                <w:rFonts w:asciiTheme="majorEastAsia" w:hAnsiTheme="majorEastAsia" w:eastAsiaTheme="majorEastAsia" w:cstheme="majorEastAsia"/>
                <w:color w:val="000000" w:themeColor="text1"/>
              </w:rPr>
            </w:pPr>
            <w:r>
              <w:rPr>
                <w:rFonts w:hint="eastAsia" w:asciiTheme="majorEastAsia" w:hAnsiTheme="majorEastAsia" w:eastAsiaTheme="majorEastAsia" w:cstheme="majorEastAsia"/>
                <w:color w:val="000000" w:themeColor="text1"/>
              </w:rPr>
              <w:t>(4)给排水设施、道路等配套工程</w:t>
            </w:r>
          </w:p>
          <w:p w14:paraId="2466B52C">
            <w:pPr>
              <w:pStyle w:val="20"/>
              <w:adjustRightInd w:val="0"/>
              <w:snapToGrid w:val="0"/>
              <w:spacing w:after="0"/>
              <w:rPr>
                <w:rFonts w:asciiTheme="minorEastAsia" w:hAnsiTheme="minorEastAsia" w:eastAsiaTheme="minorEastAsia" w:cstheme="minorEastAsia"/>
              </w:rPr>
            </w:pPr>
            <w:r>
              <w:rPr>
                <w:rFonts w:hint="eastAsia" w:asciiTheme="majorEastAsia" w:hAnsiTheme="majorEastAsia" w:eastAsiaTheme="majorEastAsia" w:cstheme="majorEastAsia"/>
                <w:color w:val="000000" w:themeColor="text1"/>
              </w:rPr>
              <w:t>为2 年;</w:t>
            </w:r>
          </w:p>
        </w:tc>
        <w:tc>
          <w:tcPr>
            <w:tcW w:w="1019" w:type="dxa"/>
            <w:vAlign w:val="center"/>
          </w:tcPr>
          <w:p w14:paraId="7674D9BE">
            <w:pPr>
              <w:rPr>
                <w:rFonts w:asciiTheme="minorEastAsia" w:hAnsiTheme="minorEastAsia" w:eastAsiaTheme="minorEastAsia" w:cstheme="minorEastAsia"/>
                <w:color w:val="000000" w:themeColor="text1"/>
              </w:rPr>
            </w:pPr>
          </w:p>
        </w:tc>
      </w:tr>
    </w:tbl>
    <w:p w14:paraId="23EC4A3A">
      <w:pPr>
        <w:rPr>
          <w:color w:val="000000" w:themeColor="text1"/>
          <w:sz w:val="24"/>
          <w:szCs w:val="24"/>
        </w:rPr>
      </w:pPr>
    </w:p>
    <w:p w14:paraId="00328B36">
      <w:pPr>
        <w:jc w:val="right"/>
        <w:rPr>
          <w:color w:val="000000" w:themeColor="text1"/>
          <w:sz w:val="30"/>
          <w:szCs w:val="30"/>
        </w:rPr>
        <w:sectPr>
          <w:pgSz w:w="11906" w:h="16838"/>
          <w:pgMar w:top="1389" w:right="1474" w:bottom="1389" w:left="1644" w:header="851" w:footer="992" w:gutter="0"/>
          <w:cols w:space="720" w:num="1"/>
          <w:docGrid w:linePitch="312" w:charSpace="0"/>
        </w:sectPr>
      </w:pPr>
      <w:bookmarkStart w:id="413" w:name="_Toc144974831"/>
    </w:p>
    <w:p w14:paraId="086A4FEC">
      <w:pPr>
        <w:spacing w:before="120" w:beforeLines="50" w:after="120" w:afterLines="50"/>
        <w:jc w:val="center"/>
        <w:rPr>
          <w:color w:val="000000" w:themeColor="text1"/>
          <w:sz w:val="32"/>
          <w:szCs w:val="32"/>
        </w:rPr>
      </w:pPr>
      <w:r>
        <w:rPr>
          <w:rFonts w:hint="eastAsia" w:cs="黑体"/>
          <w:color w:val="000000" w:themeColor="text1"/>
          <w:sz w:val="32"/>
          <w:szCs w:val="32"/>
        </w:rPr>
        <w:t>二、授权委托书或法定代表人身份证明</w:t>
      </w:r>
    </w:p>
    <w:p w14:paraId="5C1BD337">
      <w:pPr>
        <w:topLinePunct/>
        <w:spacing w:before="120" w:beforeLines="50" w:after="120" w:afterLines="50"/>
        <w:jc w:val="center"/>
        <w:rPr>
          <w:color w:val="000000" w:themeColor="text1"/>
          <w:sz w:val="28"/>
          <w:szCs w:val="28"/>
        </w:rPr>
      </w:pPr>
      <w:r>
        <w:rPr>
          <w:rFonts w:hint="eastAsia" w:cs="黑体"/>
          <w:color w:val="000000" w:themeColor="text1"/>
          <w:sz w:val="28"/>
          <w:szCs w:val="28"/>
        </w:rPr>
        <w:t>（一）授权委托书</w:t>
      </w:r>
    </w:p>
    <w:p w14:paraId="5302A5CA">
      <w:pPr>
        <w:topLinePunct/>
        <w:spacing w:before="120" w:beforeLines="50" w:line="400" w:lineRule="exact"/>
        <w:ind w:firstLine="561"/>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本人</w:t>
      </w:r>
      <w:r>
        <w:rPr>
          <w:rFonts w:hint="eastAsia" w:asciiTheme="minorEastAsia" w:hAnsiTheme="minorEastAsia" w:eastAsiaTheme="minorEastAsia" w:cstheme="minorEastAsia"/>
          <w:color w:val="000000" w:themeColor="text1"/>
          <w:u w:val="single"/>
        </w:rPr>
        <w:t xml:space="preserve">     (姓名)</w:t>
      </w:r>
      <w:r>
        <w:rPr>
          <w:rFonts w:hint="eastAsia" w:asciiTheme="minorEastAsia" w:hAnsiTheme="minorEastAsia" w:eastAsiaTheme="minorEastAsia" w:cstheme="minorEastAsia"/>
          <w:color w:val="000000" w:themeColor="text1"/>
        </w:rPr>
        <w:t>系</w:t>
      </w:r>
      <w:r>
        <w:rPr>
          <w:rFonts w:hint="eastAsia" w:asciiTheme="minorEastAsia" w:hAnsiTheme="minorEastAsia" w:eastAsiaTheme="minorEastAsia" w:cstheme="minorEastAsia"/>
          <w:color w:val="000000" w:themeColor="text1"/>
          <w:u w:val="single"/>
        </w:rPr>
        <w:t>(投标人名称)</w:t>
      </w:r>
      <w:r>
        <w:rPr>
          <w:rFonts w:hint="eastAsia" w:asciiTheme="minorEastAsia" w:hAnsiTheme="minorEastAsia" w:eastAsiaTheme="minorEastAsia" w:cstheme="minorEastAsia"/>
          <w:color w:val="000000" w:themeColor="text1"/>
        </w:rPr>
        <w:t>的法定代表人，现委托</w:t>
      </w:r>
      <w:r>
        <w:rPr>
          <w:rFonts w:hint="eastAsia" w:asciiTheme="minorEastAsia" w:hAnsiTheme="minorEastAsia" w:eastAsiaTheme="minorEastAsia" w:cstheme="minorEastAsia"/>
          <w:color w:val="000000" w:themeColor="text1"/>
          <w:u w:val="single"/>
        </w:rPr>
        <w:t xml:space="preserve">    (姓名)</w:t>
      </w:r>
      <w:r>
        <w:rPr>
          <w:rFonts w:hint="eastAsia" w:asciiTheme="minorEastAsia" w:hAnsiTheme="minorEastAsia" w:eastAsiaTheme="minorEastAsia" w:cstheme="minorEastAsia"/>
          <w:color w:val="000000" w:themeColor="text1"/>
        </w:rPr>
        <w:t>为我方代理人。代理人根据授权，以我方名义签署、澄清、说明、补正、递交、撤回、修改</w:t>
      </w:r>
      <w:r>
        <w:rPr>
          <w:rFonts w:hint="eastAsia" w:asciiTheme="minorEastAsia" w:hAnsiTheme="minorEastAsia" w:eastAsiaTheme="minorEastAsia" w:cstheme="minorEastAsia"/>
          <w:color w:val="000000" w:themeColor="text1"/>
          <w:u w:val="single"/>
        </w:rPr>
        <w:t xml:space="preserve">   (项目名称)    </w:t>
      </w:r>
      <w:r>
        <w:rPr>
          <w:rFonts w:hint="eastAsia" w:asciiTheme="minorEastAsia" w:hAnsiTheme="minorEastAsia" w:eastAsiaTheme="minorEastAsia" w:cstheme="minorEastAsia"/>
          <w:color w:val="000000" w:themeColor="text1"/>
        </w:rPr>
        <w:t>施工投标文件、签订合同和处理有关事宜，其法律后果由我方承担。</w:t>
      </w:r>
    </w:p>
    <w:p w14:paraId="3FAA0D8D">
      <w:pPr>
        <w:topLinePunct/>
        <w:spacing w:line="400" w:lineRule="exact"/>
        <w:rPr>
          <w:rFonts w:asciiTheme="minorEastAsia" w:hAnsiTheme="minorEastAsia" w:eastAsiaTheme="minorEastAsia" w:cstheme="minorEastAsia"/>
          <w:color w:val="000000" w:themeColor="text1"/>
        </w:rPr>
      </w:pPr>
    </w:p>
    <w:p w14:paraId="4D8C7B50">
      <w:pPr>
        <w:topLinePunct/>
        <w:spacing w:line="400" w:lineRule="exact"/>
        <w:ind w:firstLine="420" w:firstLineChars="200"/>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委托期限：自本委托书签署之日起至投标有效期期满。</w:t>
      </w:r>
    </w:p>
    <w:p w14:paraId="7490BE25">
      <w:pPr>
        <w:topLinePunct/>
        <w:spacing w:line="400" w:lineRule="exact"/>
        <w:rPr>
          <w:rFonts w:asciiTheme="minorEastAsia" w:hAnsiTheme="minorEastAsia" w:eastAsiaTheme="minorEastAsia" w:cstheme="minorEastAsia"/>
          <w:color w:val="000000" w:themeColor="text1"/>
        </w:rPr>
      </w:pPr>
    </w:p>
    <w:p w14:paraId="73BB51BF">
      <w:pPr>
        <w:topLinePunct/>
        <w:spacing w:line="400" w:lineRule="exact"/>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代理人无转委托权。</w:t>
      </w:r>
    </w:p>
    <w:p w14:paraId="369133CE">
      <w:pPr>
        <w:topLinePunct/>
        <w:spacing w:line="400" w:lineRule="exact"/>
        <w:rPr>
          <w:rFonts w:asciiTheme="minorEastAsia" w:hAnsiTheme="minorEastAsia" w:eastAsiaTheme="minorEastAsia" w:cstheme="minorEastAsia"/>
          <w:color w:val="000000" w:themeColor="text1"/>
        </w:rPr>
      </w:pPr>
    </w:p>
    <w:p w14:paraId="0E1C729F">
      <w:pPr>
        <w:topLinePunct/>
        <w:spacing w:line="400" w:lineRule="exact"/>
        <w:ind w:firstLine="420" w:firstLineChars="20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附：法定代表人身份证复印件及委托代理人身份证复印件。</w:t>
      </w:r>
    </w:p>
    <w:p w14:paraId="7BB43A74">
      <w:pPr>
        <w:topLinePunct/>
        <w:ind w:firstLine="420" w:firstLineChars="200"/>
        <w:rPr>
          <w:rFonts w:asciiTheme="minorEastAsia" w:hAnsiTheme="minorEastAsia" w:eastAsiaTheme="minorEastAsia" w:cstheme="minorEastAsia"/>
          <w:color w:val="000000" w:themeColor="text1"/>
        </w:rPr>
      </w:pPr>
    </w:p>
    <w:p w14:paraId="0CD9DBEE">
      <w:pPr>
        <w:topLinePunct/>
        <w:rPr>
          <w:rFonts w:asciiTheme="minorEastAsia" w:hAnsiTheme="minorEastAsia" w:eastAsiaTheme="minorEastAsia" w:cstheme="minorEastAsia"/>
          <w:color w:val="000000" w:themeColor="text1"/>
        </w:rPr>
      </w:pPr>
    </w:p>
    <w:p w14:paraId="3D0CB0CD">
      <w:pPr>
        <w:wordWrap w:val="0"/>
        <w:topLinePunct/>
        <w:jc w:val="righ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投标人：</w:t>
      </w:r>
      <w:r>
        <w:rPr>
          <w:rFonts w:hint="eastAsia" w:asciiTheme="minorEastAsia" w:hAnsiTheme="minorEastAsia" w:eastAsiaTheme="minorEastAsia" w:cstheme="minorEastAsia"/>
          <w:color w:val="000000" w:themeColor="text1"/>
          <w:u w:val="single"/>
        </w:rPr>
        <w:t xml:space="preserve">      (盖单位章)         </w:t>
      </w:r>
    </w:p>
    <w:p w14:paraId="327300DC">
      <w:pPr>
        <w:topLinePunct/>
        <w:rPr>
          <w:rFonts w:asciiTheme="minorEastAsia" w:hAnsiTheme="minorEastAsia" w:eastAsiaTheme="minorEastAsia" w:cstheme="minorEastAsia"/>
          <w:color w:val="000000" w:themeColor="text1"/>
        </w:rPr>
      </w:pPr>
    </w:p>
    <w:p w14:paraId="5E4C76B0">
      <w:pPr>
        <w:wordWrap w:val="0"/>
        <w:topLinePunct/>
        <w:jc w:val="righ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法定代表人：</w:t>
      </w:r>
      <w:bookmarkStart w:id="414" w:name="_Hlk164874768"/>
      <w:r>
        <w:rPr>
          <w:rFonts w:hint="eastAsia" w:asciiTheme="minorEastAsia" w:hAnsiTheme="minorEastAsia" w:eastAsiaTheme="minorEastAsia" w:cstheme="minorEastAsia"/>
          <w:color w:val="000000" w:themeColor="text1"/>
          <w:u w:val="single"/>
        </w:rPr>
        <w:t>（亲笔签名或盖章）</w:t>
      </w:r>
      <w:bookmarkEnd w:id="414"/>
    </w:p>
    <w:p w14:paraId="1EFD1788">
      <w:pPr>
        <w:topLinePunct/>
        <w:rPr>
          <w:rFonts w:asciiTheme="minorEastAsia" w:hAnsiTheme="minorEastAsia" w:eastAsiaTheme="minorEastAsia" w:cstheme="minorEastAsia"/>
          <w:color w:val="000000" w:themeColor="text1"/>
        </w:rPr>
      </w:pPr>
    </w:p>
    <w:p w14:paraId="0987E175">
      <w:pPr>
        <w:wordWrap w:val="0"/>
        <w:topLinePunct/>
        <w:ind w:firstLine="3839"/>
        <w:jc w:val="righ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身份证号码：</w:t>
      </w:r>
    </w:p>
    <w:p w14:paraId="0D51507C">
      <w:pPr>
        <w:topLinePunct/>
        <w:rPr>
          <w:rFonts w:asciiTheme="minorEastAsia" w:hAnsiTheme="minorEastAsia" w:eastAsiaTheme="minorEastAsia" w:cstheme="minorEastAsia"/>
          <w:color w:val="000000" w:themeColor="text1"/>
        </w:rPr>
      </w:pPr>
    </w:p>
    <w:p w14:paraId="14B6333E">
      <w:pPr>
        <w:wordWrap w:val="0"/>
        <w:topLinePunct/>
        <w:ind w:firstLine="3839"/>
        <w:jc w:val="righ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委托代理人：</w:t>
      </w:r>
      <w:r>
        <w:rPr>
          <w:rFonts w:hint="eastAsia" w:asciiTheme="minorEastAsia" w:hAnsiTheme="minorEastAsia" w:eastAsiaTheme="minorEastAsia" w:cstheme="minorEastAsia"/>
          <w:color w:val="000000" w:themeColor="text1"/>
          <w:u w:val="single"/>
        </w:rPr>
        <w:t>（亲笔签名或盖章）</w:t>
      </w:r>
    </w:p>
    <w:p w14:paraId="4E37C3DF">
      <w:pPr>
        <w:topLinePunct/>
        <w:rPr>
          <w:rFonts w:asciiTheme="minorEastAsia" w:hAnsiTheme="minorEastAsia" w:eastAsiaTheme="minorEastAsia" w:cstheme="minorEastAsia"/>
          <w:color w:val="000000" w:themeColor="text1"/>
        </w:rPr>
      </w:pPr>
    </w:p>
    <w:p w14:paraId="719BD0BB">
      <w:pPr>
        <w:wordWrap w:val="0"/>
        <w:topLinePunct/>
        <w:ind w:firstLine="3839"/>
        <w:jc w:val="righ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身份证号码：</w:t>
      </w:r>
    </w:p>
    <w:p w14:paraId="35F08AFD">
      <w:pPr>
        <w:topLinePunct/>
        <w:rPr>
          <w:rFonts w:asciiTheme="minorEastAsia" w:hAnsiTheme="minorEastAsia" w:eastAsiaTheme="minorEastAsia" w:cstheme="minorEastAsia"/>
          <w:color w:val="000000" w:themeColor="text1"/>
        </w:rPr>
      </w:pPr>
    </w:p>
    <w:p w14:paraId="22AD52A8">
      <w:pPr>
        <w:topLinePunct/>
        <w:spacing w:before="120" w:beforeLines="50" w:after="120" w:afterLines="50"/>
        <w:jc w:val="right"/>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年月日</w:t>
      </w:r>
    </w:p>
    <w:p w14:paraId="17935190">
      <w:pPr>
        <w:topLinePunct/>
        <w:spacing w:before="120" w:beforeLines="50" w:after="120" w:afterLines="50"/>
        <w:jc w:val="center"/>
        <w:rPr>
          <w:rFonts w:asciiTheme="minorEastAsia" w:hAnsiTheme="minorEastAsia" w:eastAsiaTheme="minorEastAsia" w:cstheme="minorEastAsia"/>
          <w:color w:val="000000" w:themeColor="text1"/>
        </w:rPr>
      </w:pPr>
    </w:p>
    <w:p w14:paraId="68A3799D">
      <w:pPr>
        <w:topLinePunct/>
        <w:spacing w:line="400" w:lineRule="exact"/>
        <w:ind w:firstLine="420" w:firstLineChars="200"/>
        <w:rPr>
          <w:rFonts w:asciiTheme="minorEastAsia" w:hAnsiTheme="minorEastAsia" w:eastAsiaTheme="minorEastAsia" w:cstheme="minorEastAsia"/>
          <w:color w:val="000000" w:themeColor="text1"/>
        </w:rPr>
      </w:pPr>
    </w:p>
    <w:p w14:paraId="280A73E0">
      <w:pPr>
        <w:topLinePunct/>
        <w:spacing w:line="400" w:lineRule="exact"/>
        <w:ind w:firstLine="420" w:firstLineChars="200"/>
        <w:rPr>
          <w:rFonts w:asciiTheme="minorEastAsia" w:hAnsiTheme="minorEastAsia" w:eastAsiaTheme="minorEastAsia" w:cstheme="minorEastAsia"/>
          <w:color w:val="000000" w:themeColor="text1"/>
        </w:rPr>
      </w:pPr>
    </w:p>
    <w:p w14:paraId="45821F91">
      <w:pPr>
        <w:topLinePunct/>
        <w:spacing w:line="400" w:lineRule="exact"/>
        <w:ind w:firstLine="420" w:firstLineChars="200"/>
        <w:rPr>
          <w:rFonts w:asciiTheme="minorEastAsia" w:hAnsiTheme="minorEastAsia" w:eastAsiaTheme="minorEastAsia" w:cstheme="minorEastAsia"/>
          <w:color w:val="000000" w:themeColor="text1"/>
        </w:rPr>
      </w:pPr>
    </w:p>
    <w:p w14:paraId="6B1E1F59">
      <w:pPr>
        <w:topLinePunct/>
        <w:spacing w:line="400" w:lineRule="exact"/>
        <w:ind w:firstLine="420" w:firstLineChars="200"/>
        <w:rPr>
          <w:rFonts w:asciiTheme="minorEastAsia" w:hAnsiTheme="minorEastAsia" w:eastAsiaTheme="minorEastAsia" w:cstheme="minorEastAsia"/>
          <w:color w:val="000000" w:themeColor="text1"/>
        </w:rPr>
      </w:pPr>
    </w:p>
    <w:p w14:paraId="70CE99DE">
      <w:pPr>
        <w:topLinePunct/>
        <w:spacing w:line="400" w:lineRule="exact"/>
        <w:ind w:firstLine="420" w:firstLineChars="200"/>
        <w:rPr>
          <w:rFonts w:asciiTheme="minorEastAsia" w:hAnsiTheme="minorEastAsia" w:eastAsiaTheme="minorEastAsia" w:cstheme="minorEastAsia"/>
          <w:color w:val="000000" w:themeColor="text1"/>
        </w:rPr>
      </w:pPr>
    </w:p>
    <w:p w14:paraId="3E8CA293">
      <w:pPr>
        <w:spacing w:before="120" w:beforeLines="50" w:after="120" w:afterLines="50"/>
        <w:jc w:val="left"/>
        <w:rPr>
          <w:rFonts w:asciiTheme="minorEastAsia" w:hAnsiTheme="minorEastAsia" w:eastAsiaTheme="minorEastAsia" w:cstheme="minorEastAsia"/>
          <w:b/>
          <w:bCs/>
          <w:color w:val="000000" w:themeColor="text1"/>
        </w:rPr>
      </w:pPr>
      <w:r>
        <w:rPr>
          <w:rFonts w:hint="eastAsia" w:asciiTheme="minorEastAsia" w:hAnsiTheme="minorEastAsia" w:eastAsiaTheme="minorEastAsia" w:cstheme="minorEastAsia"/>
          <w:b/>
          <w:bCs/>
          <w:color w:val="000000" w:themeColor="text1"/>
        </w:rPr>
        <w:t>注： 1、法定代表人和委托代理人必须在授权委托书上</w:t>
      </w:r>
      <w:r>
        <w:rPr>
          <w:rFonts w:hint="eastAsia" w:asciiTheme="minorEastAsia" w:hAnsiTheme="minorEastAsia" w:eastAsiaTheme="minorEastAsia" w:cstheme="minorEastAsia"/>
          <w:b/>
          <w:bCs/>
          <w:color w:val="000000" w:themeColor="text1"/>
          <w:u w:val="single"/>
        </w:rPr>
        <w:t>亲笔签名或签名章</w:t>
      </w:r>
      <w:r>
        <w:rPr>
          <w:rFonts w:hint="eastAsia" w:asciiTheme="minorEastAsia" w:hAnsiTheme="minorEastAsia" w:eastAsiaTheme="minorEastAsia" w:cstheme="minorEastAsia"/>
          <w:b/>
          <w:bCs/>
          <w:color w:val="000000" w:themeColor="text1"/>
        </w:rPr>
        <w:t>；</w:t>
      </w:r>
    </w:p>
    <w:p w14:paraId="3FA48E81">
      <w:pPr>
        <w:spacing w:before="120" w:beforeLines="50" w:after="120" w:afterLines="50"/>
        <w:ind w:firstLine="422" w:firstLineChars="200"/>
        <w:jc w:val="left"/>
        <w:rPr>
          <w:rFonts w:asciiTheme="minorEastAsia" w:hAnsiTheme="minorEastAsia" w:eastAsiaTheme="minorEastAsia" w:cstheme="minorEastAsia"/>
          <w:b/>
          <w:bCs/>
          <w:color w:val="000000" w:themeColor="text1"/>
        </w:rPr>
      </w:pPr>
      <w:r>
        <w:rPr>
          <w:rFonts w:hint="eastAsia" w:asciiTheme="minorEastAsia" w:hAnsiTheme="minorEastAsia" w:eastAsiaTheme="minorEastAsia" w:cstheme="minorEastAsia"/>
          <w:b/>
          <w:bCs/>
          <w:color w:val="000000" w:themeColor="text1"/>
        </w:rPr>
        <w:t>2、如果由投标人的法定代表人签署投标文件，则无须提交授权委托书。</w:t>
      </w:r>
    </w:p>
    <w:p w14:paraId="14605C55">
      <w:pPr>
        <w:pStyle w:val="194"/>
        <w:topLinePunct/>
        <w:spacing w:line="400" w:lineRule="exact"/>
        <w:ind w:left="560" w:firstLine="0" w:firstLineChars="0"/>
        <w:rPr>
          <w:color w:val="000000" w:themeColor="text1"/>
          <w:sz w:val="28"/>
          <w:szCs w:val="28"/>
        </w:rPr>
      </w:pPr>
      <w:r>
        <w:rPr>
          <w:color w:val="000000" w:themeColor="text1"/>
          <w:sz w:val="27"/>
          <w:szCs w:val="27"/>
        </w:rPr>
        <w:br w:type="page"/>
      </w:r>
    </w:p>
    <w:p w14:paraId="06393221">
      <w:pPr>
        <w:topLinePunct/>
        <w:spacing w:before="120" w:beforeLines="50" w:after="120" w:afterLines="50"/>
        <w:jc w:val="center"/>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color w:val="000000" w:themeColor="text1"/>
          <w:sz w:val="28"/>
          <w:szCs w:val="28"/>
        </w:rPr>
        <w:t xml:space="preserve"> (二)法定代表人身份证明</w:t>
      </w:r>
    </w:p>
    <w:p w14:paraId="54AA724D">
      <w:pPr>
        <w:topLinePunct/>
        <w:rPr>
          <w:color w:val="000000" w:themeColor="text1"/>
          <w:sz w:val="28"/>
          <w:szCs w:val="28"/>
        </w:rPr>
      </w:pPr>
    </w:p>
    <w:p w14:paraId="7950E0AD">
      <w:pPr>
        <w:topLinePunct/>
        <w:rPr>
          <w:color w:val="000000" w:themeColor="text1"/>
          <w:sz w:val="28"/>
          <w:szCs w:val="28"/>
        </w:rPr>
      </w:pPr>
    </w:p>
    <w:p w14:paraId="4C903BCD">
      <w:pPr>
        <w:topLinePunc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投标人名称：</w:t>
      </w:r>
    </w:p>
    <w:p w14:paraId="6CC30F11">
      <w:pPr>
        <w:topLinePunct/>
        <w:rPr>
          <w:rFonts w:asciiTheme="minorEastAsia" w:hAnsiTheme="minorEastAsia" w:eastAsiaTheme="minorEastAsia" w:cstheme="minorEastAsia"/>
          <w:color w:val="000000" w:themeColor="text1"/>
        </w:rPr>
      </w:pPr>
    </w:p>
    <w:p w14:paraId="11F90CE4">
      <w:pPr>
        <w:topLinePunc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姓名：</w:t>
      </w:r>
      <w:r>
        <w:rPr>
          <w:rFonts w:hint="eastAsia" w:asciiTheme="minorEastAsia" w:hAnsiTheme="minorEastAsia" w:eastAsiaTheme="minorEastAsia" w:cstheme="minorEastAsia"/>
          <w:color w:val="000000" w:themeColor="text1"/>
          <w:u w:val="single"/>
        </w:rPr>
        <w:t>（亲笔签名或盖章）</w:t>
      </w:r>
      <w:r>
        <w:rPr>
          <w:rFonts w:hint="eastAsia" w:asciiTheme="minorEastAsia" w:hAnsiTheme="minorEastAsia" w:eastAsiaTheme="minorEastAsia" w:cstheme="minorEastAsia"/>
          <w:color w:val="000000" w:themeColor="text1"/>
        </w:rPr>
        <w:t xml:space="preserve"> 性别：年龄：职务：</w:t>
      </w:r>
    </w:p>
    <w:p w14:paraId="3A848C9E">
      <w:pPr>
        <w:topLinePunct/>
        <w:rPr>
          <w:rFonts w:asciiTheme="minorEastAsia" w:hAnsiTheme="minorEastAsia" w:eastAsiaTheme="minorEastAsia" w:cstheme="minorEastAsia"/>
          <w:color w:val="000000" w:themeColor="text1"/>
        </w:rPr>
      </w:pPr>
    </w:p>
    <w:p w14:paraId="30C63EA6">
      <w:pPr>
        <w:topLinePunct/>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系</w:t>
      </w:r>
      <w:r>
        <w:rPr>
          <w:rFonts w:hint="eastAsia" w:asciiTheme="minorEastAsia" w:hAnsiTheme="minorEastAsia" w:eastAsiaTheme="minorEastAsia" w:cstheme="minorEastAsia"/>
          <w:color w:val="000000" w:themeColor="text1"/>
          <w:u w:val="single"/>
        </w:rPr>
        <w:t xml:space="preserve">(投标人名称)        </w:t>
      </w:r>
      <w:r>
        <w:rPr>
          <w:rFonts w:hint="eastAsia" w:asciiTheme="minorEastAsia" w:hAnsiTheme="minorEastAsia" w:eastAsiaTheme="minorEastAsia" w:cstheme="minorEastAsia"/>
          <w:color w:val="000000" w:themeColor="text1"/>
        </w:rPr>
        <w:t>的法定代表人。</w:t>
      </w:r>
    </w:p>
    <w:p w14:paraId="4C6F7E08">
      <w:pPr>
        <w:topLinePunct/>
        <w:rPr>
          <w:rFonts w:asciiTheme="minorEastAsia" w:hAnsiTheme="minorEastAsia" w:eastAsiaTheme="minorEastAsia" w:cstheme="minorEastAsia"/>
          <w:color w:val="000000" w:themeColor="text1"/>
        </w:rPr>
      </w:pPr>
    </w:p>
    <w:p w14:paraId="217D6911">
      <w:pPr>
        <w:topLinePunct/>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特此证明。</w:t>
      </w:r>
    </w:p>
    <w:p w14:paraId="181C6916">
      <w:pPr>
        <w:topLinePunct/>
        <w:rPr>
          <w:rFonts w:asciiTheme="minorEastAsia" w:hAnsiTheme="minorEastAsia" w:eastAsiaTheme="minorEastAsia" w:cstheme="minorEastAsia"/>
          <w:color w:val="000000" w:themeColor="text1"/>
        </w:rPr>
      </w:pPr>
    </w:p>
    <w:p w14:paraId="3BCAB5C3">
      <w:pPr>
        <w:topLinePunct/>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附：法定代表人身份证复印件。</w:t>
      </w:r>
    </w:p>
    <w:p w14:paraId="23E3A243">
      <w:pPr>
        <w:topLinePunct/>
        <w:rPr>
          <w:rFonts w:asciiTheme="minorEastAsia" w:hAnsiTheme="minorEastAsia" w:eastAsiaTheme="minorEastAsia" w:cstheme="minorEastAsia"/>
          <w:color w:val="000000" w:themeColor="text1"/>
        </w:rPr>
      </w:pPr>
    </w:p>
    <w:p w14:paraId="0552CD59">
      <w:pPr>
        <w:topLinePunct/>
        <w:rPr>
          <w:rFonts w:asciiTheme="minorEastAsia" w:hAnsiTheme="minorEastAsia" w:eastAsiaTheme="minorEastAsia" w:cstheme="minorEastAsia"/>
          <w:color w:val="000000" w:themeColor="text1"/>
        </w:rPr>
      </w:pPr>
    </w:p>
    <w:p w14:paraId="58A0740A">
      <w:pPr>
        <w:wordWrap w:val="0"/>
        <w:topLinePunct/>
        <w:ind w:right="-52"/>
        <w:jc w:val="right"/>
        <w:rPr>
          <w:rFonts w:asciiTheme="minorEastAsia" w:hAnsiTheme="minorEastAsia" w:eastAsiaTheme="minorEastAsia" w:cstheme="minorEastAsia"/>
          <w:color w:val="000000" w:themeColor="text1"/>
          <w:u w:val="single"/>
        </w:rPr>
      </w:pPr>
      <w:r>
        <w:rPr>
          <w:rFonts w:hint="eastAsia" w:asciiTheme="minorEastAsia" w:hAnsiTheme="minorEastAsia" w:eastAsiaTheme="minorEastAsia" w:cstheme="minorEastAsia"/>
          <w:color w:val="000000" w:themeColor="text1"/>
        </w:rPr>
        <w:t>投标人：</w:t>
      </w:r>
      <w:r>
        <w:rPr>
          <w:rFonts w:hint="eastAsia" w:asciiTheme="minorEastAsia" w:hAnsiTheme="minorEastAsia" w:eastAsiaTheme="minorEastAsia" w:cstheme="minorEastAsia"/>
          <w:color w:val="000000" w:themeColor="text1"/>
          <w:u w:val="single"/>
        </w:rPr>
        <w:t xml:space="preserve">(盖单位章)     </w:t>
      </w:r>
    </w:p>
    <w:p w14:paraId="18B005A4">
      <w:pPr>
        <w:topLinePunct/>
        <w:rPr>
          <w:rFonts w:asciiTheme="minorEastAsia" w:hAnsiTheme="minorEastAsia" w:eastAsiaTheme="minorEastAsia" w:cstheme="minorEastAsia"/>
          <w:color w:val="000000" w:themeColor="text1"/>
        </w:rPr>
      </w:pPr>
    </w:p>
    <w:p w14:paraId="32C5AFBE">
      <w:pPr>
        <w:wordWrap w:val="0"/>
        <w:topLinePunct/>
        <w:jc w:val="right"/>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年月日</w:t>
      </w:r>
    </w:p>
    <w:p w14:paraId="428FB839">
      <w:pPr>
        <w:topLinePunct/>
        <w:rPr>
          <w:color w:val="000000" w:themeColor="text1"/>
          <w:sz w:val="28"/>
          <w:szCs w:val="28"/>
        </w:rPr>
      </w:pPr>
    </w:p>
    <w:p w14:paraId="30E9D4F1">
      <w:pPr>
        <w:topLinePunct/>
        <w:rPr>
          <w:color w:val="000000" w:themeColor="text1"/>
          <w:sz w:val="28"/>
          <w:szCs w:val="28"/>
        </w:rPr>
      </w:pPr>
    </w:p>
    <w:p w14:paraId="4829846F">
      <w:pPr>
        <w:topLinePunct/>
        <w:rPr>
          <w:color w:val="000000" w:themeColor="text1"/>
          <w:sz w:val="28"/>
          <w:szCs w:val="28"/>
        </w:rPr>
      </w:pPr>
    </w:p>
    <w:p w14:paraId="6253D2B9">
      <w:pPr>
        <w:rPr>
          <w:b/>
          <w:bCs/>
          <w:color w:val="000000" w:themeColor="text1"/>
        </w:rPr>
      </w:pPr>
    </w:p>
    <w:p w14:paraId="2055BFD2">
      <w:pPr>
        <w:spacing w:before="120" w:beforeLines="50" w:after="120" w:afterLines="50"/>
        <w:jc w:val="center"/>
        <w:rPr>
          <w:b/>
          <w:bCs/>
          <w:color w:val="000000" w:themeColor="text1"/>
        </w:rPr>
      </w:pPr>
    </w:p>
    <w:p w14:paraId="22CD8A60">
      <w:pPr>
        <w:spacing w:before="120" w:beforeLines="50" w:after="120" w:afterLines="50"/>
        <w:jc w:val="center"/>
        <w:rPr>
          <w:b/>
          <w:bCs/>
          <w:color w:val="000000" w:themeColor="text1"/>
        </w:rPr>
      </w:pPr>
    </w:p>
    <w:p w14:paraId="40169F7A">
      <w:pPr>
        <w:spacing w:before="120" w:beforeLines="50" w:after="120" w:afterLines="50"/>
        <w:jc w:val="center"/>
        <w:rPr>
          <w:b/>
          <w:bCs/>
          <w:color w:val="000000" w:themeColor="text1"/>
        </w:rPr>
      </w:pPr>
    </w:p>
    <w:p w14:paraId="4050E220">
      <w:pPr>
        <w:spacing w:before="120" w:beforeLines="50" w:after="120" w:afterLines="50"/>
        <w:jc w:val="center"/>
        <w:rPr>
          <w:b/>
          <w:bCs/>
          <w:color w:val="000000" w:themeColor="text1"/>
        </w:rPr>
      </w:pPr>
    </w:p>
    <w:p w14:paraId="6430A0FB">
      <w:pPr>
        <w:spacing w:before="120" w:beforeLines="50" w:after="120" w:afterLines="50"/>
        <w:jc w:val="center"/>
        <w:rPr>
          <w:b/>
          <w:bCs/>
          <w:color w:val="000000" w:themeColor="text1"/>
        </w:rPr>
      </w:pPr>
    </w:p>
    <w:p w14:paraId="1993BD4F">
      <w:pPr>
        <w:widowControl/>
        <w:jc w:val="left"/>
        <w:rPr>
          <w:rFonts w:cs="宋体"/>
          <w:b/>
          <w:bCs/>
          <w:color w:val="000000" w:themeColor="text1"/>
        </w:rPr>
      </w:pPr>
      <w:r>
        <w:rPr>
          <w:color w:val="000000" w:themeColor="text1"/>
          <w:sz w:val="24"/>
          <w:szCs w:val="24"/>
        </w:rPr>
        <w:br w:type="page"/>
      </w:r>
      <w:bookmarkEnd w:id="413"/>
    </w:p>
    <w:p w14:paraId="18E6AB58">
      <w:pPr>
        <w:pStyle w:val="20"/>
        <w:jc w:val="center"/>
        <w:rPr>
          <w:rFonts w:cs="宋体"/>
          <w:b/>
          <w:bCs/>
          <w:color w:val="000000" w:themeColor="text1"/>
          <w:sz w:val="32"/>
          <w:szCs w:val="32"/>
        </w:rPr>
      </w:pPr>
      <w:r>
        <w:rPr>
          <w:rFonts w:hint="eastAsia" w:cs="宋体"/>
          <w:b/>
          <w:bCs/>
          <w:color w:val="000000" w:themeColor="text1"/>
          <w:sz w:val="32"/>
          <w:szCs w:val="32"/>
        </w:rPr>
        <w:t>三、项目管理机构</w:t>
      </w:r>
    </w:p>
    <w:tbl>
      <w:tblPr>
        <w:tblStyle w:val="4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4"/>
      </w:tblGrid>
      <w:tr w14:paraId="6ED8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Pr>
          <w:p w14:paraId="18D7FAAF">
            <w:pPr>
              <w:rPr>
                <w:color w:val="000000" w:themeColor="text1"/>
              </w:rPr>
            </w:pPr>
            <w:r>
              <w:rPr>
                <w:rFonts w:hint="eastAsia" w:cs="宋体"/>
                <w:color w:val="000000" w:themeColor="text1"/>
              </w:rPr>
              <w:t>拟为承包本标段工程设立的组织机构及框图方式表示。</w:t>
            </w:r>
          </w:p>
          <w:p w14:paraId="61CA99B6">
            <w:pPr>
              <w:rPr>
                <w:color w:val="000000" w:themeColor="text1"/>
              </w:rPr>
            </w:pPr>
          </w:p>
          <w:p w14:paraId="54782812">
            <w:pPr>
              <w:rPr>
                <w:color w:val="000000" w:themeColor="text1"/>
              </w:rPr>
            </w:pPr>
          </w:p>
          <w:p w14:paraId="7DD9663B">
            <w:pPr>
              <w:rPr>
                <w:color w:val="000000" w:themeColor="text1"/>
              </w:rPr>
            </w:pPr>
          </w:p>
          <w:p w14:paraId="709C2303">
            <w:pPr>
              <w:rPr>
                <w:color w:val="000000" w:themeColor="text1"/>
              </w:rPr>
            </w:pPr>
          </w:p>
          <w:p w14:paraId="076E90E0">
            <w:pPr>
              <w:rPr>
                <w:color w:val="000000" w:themeColor="text1"/>
              </w:rPr>
            </w:pPr>
          </w:p>
          <w:p w14:paraId="3DE7A312">
            <w:pPr>
              <w:rPr>
                <w:color w:val="000000" w:themeColor="text1"/>
              </w:rPr>
            </w:pPr>
          </w:p>
          <w:p w14:paraId="62254058">
            <w:pPr>
              <w:rPr>
                <w:color w:val="000000" w:themeColor="text1"/>
              </w:rPr>
            </w:pPr>
          </w:p>
          <w:p w14:paraId="588ED452">
            <w:pPr>
              <w:rPr>
                <w:color w:val="000000" w:themeColor="text1"/>
              </w:rPr>
            </w:pPr>
          </w:p>
          <w:p w14:paraId="36C933BB">
            <w:pPr>
              <w:rPr>
                <w:color w:val="000000" w:themeColor="text1"/>
              </w:rPr>
            </w:pPr>
          </w:p>
          <w:p w14:paraId="5D057847">
            <w:pPr>
              <w:rPr>
                <w:color w:val="000000" w:themeColor="text1"/>
              </w:rPr>
            </w:pPr>
          </w:p>
          <w:p w14:paraId="609F4415">
            <w:pPr>
              <w:rPr>
                <w:color w:val="000000" w:themeColor="text1"/>
              </w:rPr>
            </w:pPr>
          </w:p>
          <w:p w14:paraId="2ADA7FDD">
            <w:pPr>
              <w:rPr>
                <w:color w:val="000000" w:themeColor="text1"/>
              </w:rPr>
            </w:pPr>
          </w:p>
          <w:p w14:paraId="2131D75C">
            <w:pPr>
              <w:rPr>
                <w:color w:val="000000" w:themeColor="text1"/>
              </w:rPr>
            </w:pPr>
          </w:p>
          <w:p w14:paraId="44082ED8">
            <w:pPr>
              <w:rPr>
                <w:color w:val="000000" w:themeColor="text1"/>
              </w:rPr>
            </w:pPr>
          </w:p>
          <w:p w14:paraId="6AC3AA06">
            <w:pPr>
              <w:rPr>
                <w:color w:val="000000" w:themeColor="text1"/>
              </w:rPr>
            </w:pPr>
          </w:p>
          <w:p w14:paraId="140265A5">
            <w:pPr>
              <w:rPr>
                <w:color w:val="000000" w:themeColor="text1"/>
              </w:rPr>
            </w:pPr>
          </w:p>
          <w:p w14:paraId="1A5BE847">
            <w:pPr>
              <w:rPr>
                <w:color w:val="000000" w:themeColor="text1"/>
              </w:rPr>
            </w:pPr>
          </w:p>
          <w:p w14:paraId="7419199B">
            <w:pPr>
              <w:rPr>
                <w:color w:val="000000" w:themeColor="text1"/>
              </w:rPr>
            </w:pPr>
          </w:p>
          <w:p w14:paraId="560E00C4">
            <w:pPr>
              <w:rPr>
                <w:color w:val="000000" w:themeColor="text1"/>
              </w:rPr>
            </w:pPr>
          </w:p>
          <w:p w14:paraId="273E6DED">
            <w:pPr>
              <w:rPr>
                <w:color w:val="000000" w:themeColor="text1"/>
              </w:rPr>
            </w:pPr>
          </w:p>
          <w:p w14:paraId="0276A511">
            <w:pPr>
              <w:rPr>
                <w:color w:val="000000" w:themeColor="text1"/>
              </w:rPr>
            </w:pPr>
          </w:p>
          <w:p w14:paraId="109141AB">
            <w:pPr>
              <w:rPr>
                <w:color w:val="000000" w:themeColor="text1"/>
              </w:rPr>
            </w:pPr>
          </w:p>
          <w:p w14:paraId="0873E7C8">
            <w:pPr>
              <w:rPr>
                <w:color w:val="000000" w:themeColor="text1"/>
              </w:rPr>
            </w:pPr>
          </w:p>
          <w:p w14:paraId="54593340">
            <w:pPr>
              <w:rPr>
                <w:color w:val="000000" w:themeColor="text1"/>
              </w:rPr>
            </w:pPr>
          </w:p>
          <w:p w14:paraId="696C27AF">
            <w:pPr>
              <w:rPr>
                <w:color w:val="000000" w:themeColor="text1"/>
              </w:rPr>
            </w:pPr>
          </w:p>
          <w:p w14:paraId="460044FE">
            <w:pPr>
              <w:rPr>
                <w:color w:val="000000" w:themeColor="text1"/>
              </w:rPr>
            </w:pPr>
          </w:p>
          <w:p w14:paraId="701C0D92">
            <w:pPr>
              <w:rPr>
                <w:color w:val="000000" w:themeColor="text1"/>
              </w:rPr>
            </w:pPr>
          </w:p>
          <w:p w14:paraId="1B55B4D0">
            <w:pPr>
              <w:rPr>
                <w:color w:val="000000" w:themeColor="text1"/>
              </w:rPr>
            </w:pPr>
          </w:p>
          <w:p w14:paraId="0B5E3010">
            <w:pPr>
              <w:rPr>
                <w:color w:val="000000" w:themeColor="text1"/>
              </w:rPr>
            </w:pPr>
          </w:p>
          <w:p w14:paraId="1434F7EA">
            <w:pPr>
              <w:rPr>
                <w:color w:val="000000" w:themeColor="text1"/>
              </w:rPr>
            </w:pPr>
          </w:p>
          <w:p w14:paraId="5B388285">
            <w:pPr>
              <w:rPr>
                <w:color w:val="000000" w:themeColor="text1"/>
              </w:rPr>
            </w:pPr>
          </w:p>
          <w:p w14:paraId="0A61D0F9">
            <w:pPr>
              <w:rPr>
                <w:color w:val="000000" w:themeColor="text1"/>
              </w:rPr>
            </w:pPr>
          </w:p>
          <w:p w14:paraId="2450986A">
            <w:pPr>
              <w:rPr>
                <w:color w:val="000000" w:themeColor="text1"/>
              </w:rPr>
            </w:pPr>
          </w:p>
          <w:p w14:paraId="2F98E420">
            <w:pPr>
              <w:rPr>
                <w:color w:val="000000" w:themeColor="text1"/>
              </w:rPr>
            </w:pPr>
          </w:p>
          <w:p w14:paraId="0EBA387F">
            <w:pPr>
              <w:rPr>
                <w:color w:val="000000" w:themeColor="text1"/>
              </w:rPr>
            </w:pPr>
          </w:p>
          <w:p w14:paraId="130ED1C0">
            <w:pPr>
              <w:rPr>
                <w:color w:val="000000" w:themeColor="text1"/>
              </w:rPr>
            </w:pPr>
          </w:p>
        </w:tc>
      </w:tr>
      <w:tr w14:paraId="5E047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Pr>
          <w:p w14:paraId="38DB76FD">
            <w:pPr>
              <w:rPr>
                <w:color w:val="000000" w:themeColor="text1"/>
              </w:rPr>
            </w:pPr>
            <w:r>
              <w:rPr>
                <w:rFonts w:hint="eastAsia" w:cs="宋体"/>
                <w:color w:val="000000" w:themeColor="text1"/>
              </w:rPr>
              <w:t>说明：</w:t>
            </w:r>
          </w:p>
          <w:p w14:paraId="10977041">
            <w:pPr>
              <w:rPr>
                <w:color w:val="000000" w:themeColor="text1"/>
              </w:rPr>
            </w:pPr>
          </w:p>
          <w:p w14:paraId="0C9E0151">
            <w:pPr>
              <w:rPr>
                <w:color w:val="000000" w:themeColor="text1"/>
              </w:rPr>
            </w:pPr>
          </w:p>
          <w:p w14:paraId="167CA484">
            <w:pPr>
              <w:rPr>
                <w:color w:val="000000" w:themeColor="text1"/>
              </w:rPr>
            </w:pPr>
          </w:p>
          <w:p w14:paraId="0FF1FBF6">
            <w:pPr>
              <w:rPr>
                <w:color w:val="000000" w:themeColor="text1"/>
              </w:rPr>
            </w:pPr>
          </w:p>
          <w:p w14:paraId="29B3945F">
            <w:pPr>
              <w:rPr>
                <w:color w:val="000000" w:themeColor="text1"/>
              </w:rPr>
            </w:pPr>
          </w:p>
          <w:p w14:paraId="2CAAF457">
            <w:pPr>
              <w:rPr>
                <w:color w:val="000000" w:themeColor="text1"/>
              </w:rPr>
            </w:pPr>
          </w:p>
          <w:p w14:paraId="26CF4833">
            <w:pPr>
              <w:rPr>
                <w:color w:val="000000" w:themeColor="text1"/>
              </w:rPr>
            </w:pPr>
          </w:p>
          <w:p w14:paraId="35F15A18">
            <w:pPr>
              <w:rPr>
                <w:color w:val="000000" w:themeColor="text1"/>
              </w:rPr>
            </w:pPr>
          </w:p>
          <w:p w14:paraId="789FB2C4">
            <w:pPr>
              <w:rPr>
                <w:color w:val="000000" w:themeColor="text1"/>
              </w:rPr>
            </w:pPr>
          </w:p>
          <w:p w14:paraId="7ABAE72A">
            <w:pPr>
              <w:rPr>
                <w:color w:val="000000" w:themeColor="text1"/>
              </w:rPr>
            </w:pPr>
          </w:p>
        </w:tc>
      </w:tr>
    </w:tbl>
    <w:p w14:paraId="1C28B50E">
      <w:pPr>
        <w:spacing w:line="400" w:lineRule="exact"/>
        <w:rPr>
          <w:b/>
          <w:bCs/>
          <w:color w:val="000000" w:themeColor="text1"/>
          <w:sz w:val="30"/>
          <w:szCs w:val="30"/>
        </w:rPr>
      </w:pPr>
    </w:p>
    <w:p w14:paraId="17A4C7D0">
      <w:pPr>
        <w:rPr>
          <w:color w:val="000000" w:themeColor="text1"/>
        </w:rPr>
        <w:sectPr>
          <w:footerReference r:id="rId9" w:type="default"/>
          <w:pgSz w:w="11906" w:h="16838"/>
          <w:pgMar w:top="1389" w:right="1474" w:bottom="1389" w:left="1644" w:header="851" w:footer="992" w:gutter="0"/>
          <w:cols w:space="720" w:num="1"/>
          <w:docGrid w:linePitch="312" w:charSpace="0"/>
        </w:sectPr>
      </w:pPr>
    </w:p>
    <w:p w14:paraId="798086E1">
      <w:pPr>
        <w:pStyle w:val="20"/>
        <w:jc w:val="center"/>
        <w:rPr>
          <w:b/>
          <w:bCs/>
          <w:color w:val="000000" w:themeColor="text1"/>
          <w:sz w:val="32"/>
          <w:szCs w:val="32"/>
        </w:rPr>
      </w:pPr>
      <w:r>
        <w:rPr>
          <w:rFonts w:hint="eastAsia" w:cs="宋体"/>
          <w:b/>
          <w:bCs/>
          <w:color w:val="000000" w:themeColor="text1"/>
          <w:sz w:val="32"/>
          <w:szCs w:val="32"/>
        </w:rPr>
        <w:t>四、拟分包项目情况表</w:t>
      </w:r>
    </w:p>
    <w:tbl>
      <w:tblPr>
        <w:tblStyle w:val="4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2398"/>
        <w:gridCol w:w="2396"/>
        <w:gridCol w:w="2153"/>
      </w:tblGrid>
      <w:tr w14:paraId="4DBA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1027F8BF">
            <w:pPr>
              <w:jc w:val="center"/>
              <w:rPr>
                <w:color w:val="000000" w:themeColor="text1"/>
              </w:rPr>
            </w:pPr>
            <w:r>
              <w:rPr>
                <w:rFonts w:hint="eastAsia" w:cs="宋体"/>
                <w:color w:val="000000" w:themeColor="text1"/>
              </w:rPr>
              <w:t>分包的工程项目</w:t>
            </w:r>
          </w:p>
        </w:tc>
        <w:tc>
          <w:tcPr>
            <w:tcW w:w="1282" w:type="pct"/>
            <w:vAlign w:val="center"/>
          </w:tcPr>
          <w:p w14:paraId="59C4D313">
            <w:pPr>
              <w:jc w:val="center"/>
              <w:rPr>
                <w:color w:val="000000" w:themeColor="text1"/>
              </w:rPr>
            </w:pPr>
            <w:r>
              <w:rPr>
                <w:rFonts w:hint="eastAsia" w:cs="宋体"/>
                <w:color w:val="000000" w:themeColor="text1"/>
              </w:rPr>
              <w:t>主要工程内容</w:t>
            </w:r>
          </w:p>
        </w:tc>
        <w:tc>
          <w:tcPr>
            <w:tcW w:w="1282" w:type="pct"/>
            <w:vAlign w:val="center"/>
          </w:tcPr>
          <w:p w14:paraId="5060C16B">
            <w:pPr>
              <w:jc w:val="center"/>
              <w:rPr>
                <w:color w:val="000000" w:themeColor="text1"/>
              </w:rPr>
            </w:pPr>
            <w:r>
              <w:rPr>
                <w:rFonts w:hint="eastAsia" w:cs="宋体"/>
                <w:color w:val="000000" w:themeColor="text1"/>
              </w:rPr>
              <w:t>预计造价（万元）</w:t>
            </w:r>
          </w:p>
        </w:tc>
        <w:tc>
          <w:tcPr>
            <w:tcW w:w="1152" w:type="pct"/>
            <w:vMerge w:val="restart"/>
            <w:vAlign w:val="center"/>
          </w:tcPr>
          <w:p w14:paraId="68212B9A">
            <w:pPr>
              <w:widowControl/>
              <w:rPr>
                <w:color w:val="000000" w:themeColor="text1"/>
                <w:kern w:val="0"/>
              </w:rPr>
            </w:pPr>
            <w:r>
              <w:rPr>
                <w:rFonts w:hint="eastAsia" w:cs="宋体"/>
                <w:color w:val="000000" w:themeColor="text1"/>
                <w:kern w:val="0"/>
              </w:rPr>
              <w:t>注：若无分包计划，则投标人应在本表填写“无”</w:t>
            </w:r>
          </w:p>
        </w:tc>
      </w:tr>
      <w:tr w14:paraId="1B6A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771123D2">
            <w:pPr>
              <w:widowControl/>
              <w:ind w:firstLine="840" w:firstLineChars="400"/>
              <w:rPr>
                <w:color w:val="000000" w:themeColor="text1"/>
                <w:kern w:val="0"/>
              </w:rPr>
            </w:pPr>
          </w:p>
        </w:tc>
        <w:tc>
          <w:tcPr>
            <w:tcW w:w="1282" w:type="pct"/>
            <w:vAlign w:val="center"/>
          </w:tcPr>
          <w:p w14:paraId="1C1797F0">
            <w:pPr>
              <w:widowControl/>
              <w:rPr>
                <w:color w:val="000000" w:themeColor="text1"/>
                <w:kern w:val="0"/>
              </w:rPr>
            </w:pPr>
          </w:p>
        </w:tc>
        <w:tc>
          <w:tcPr>
            <w:tcW w:w="1282" w:type="pct"/>
            <w:vAlign w:val="center"/>
          </w:tcPr>
          <w:p w14:paraId="316220A4">
            <w:pPr>
              <w:widowControl/>
              <w:rPr>
                <w:color w:val="000000" w:themeColor="text1"/>
                <w:kern w:val="0"/>
              </w:rPr>
            </w:pPr>
          </w:p>
        </w:tc>
        <w:tc>
          <w:tcPr>
            <w:tcW w:w="1152" w:type="pct"/>
            <w:vMerge w:val="continue"/>
            <w:vAlign w:val="center"/>
          </w:tcPr>
          <w:p w14:paraId="3F9AA66A">
            <w:pPr>
              <w:widowControl/>
              <w:rPr>
                <w:color w:val="000000" w:themeColor="text1"/>
                <w:kern w:val="0"/>
              </w:rPr>
            </w:pPr>
          </w:p>
        </w:tc>
      </w:tr>
      <w:tr w14:paraId="25E4F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28F82D1E">
            <w:pPr>
              <w:widowControl/>
              <w:rPr>
                <w:color w:val="000000" w:themeColor="text1"/>
                <w:kern w:val="0"/>
              </w:rPr>
            </w:pPr>
          </w:p>
        </w:tc>
        <w:tc>
          <w:tcPr>
            <w:tcW w:w="1282" w:type="pct"/>
            <w:vAlign w:val="center"/>
          </w:tcPr>
          <w:p w14:paraId="26800D14">
            <w:pPr>
              <w:widowControl/>
              <w:rPr>
                <w:color w:val="000000" w:themeColor="text1"/>
                <w:kern w:val="0"/>
              </w:rPr>
            </w:pPr>
          </w:p>
        </w:tc>
        <w:tc>
          <w:tcPr>
            <w:tcW w:w="1282" w:type="pct"/>
            <w:vAlign w:val="center"/>
          </w:tcPr>
          <w:p w14:paraId="123591CA">
            <w:pPr>
              <w:widowControl/>
              <w:rPr>
                <w:color w:val="000000" w:themeColor="text1"/>
                <w:kern w:val="0"/>
              </w:rPr>
            </w:pPr>
          </w:p>
        </w:tc>
        <w:tc>
          <w:tcPr>
            <w:tcW w:w="1152" w:type="pct"/>
            <w:vMerge w:val="continue"/>
            <w:vAlign w:val="center"/>
          </w:tcPr>
          <w:p w14:paraId="2A6EB801">
            <w:pPr>
              <w:widowControl/>
              <w:rPr>
                <w:color w:val="000000" w:themeColor="text1"/>
                <w:kern w:val="0"/>
              </w:rPr>
            </w:pPr>
          </w:p>
        </w:tc>
      </w:tr>
      <w:tr w14:paraId="6C880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7BA89F61">
            <w:pPr>
              <w:widowControl/>
              <w:rPr>
                <w:color w:val="000000" w:themeColor="text1"/>
                <w:kern w:val="0"/>
              </w:rPr>
            </w:pPr>
          </w:p>
        </w:tc>
        <w:tc>
          <w:tcPr>
            <w:tcW w:w="1282" w:type="pct"/>
            <w:vAlign w:val="center"/>
          </w:tcPr>
          <w:p w14:paraId="6B769325">
            <w:pPr>
              <w:widowControl/>
              <w:rPr>
                <w:color w:val="000000" w:themeColor="text1"/>
                <w:kern w:val="0"/>
              </w:rPr>
            </w:pPr>
          </w:p>
        </w:tc>
        <w:tc>
          <w:tcPr>
            <w:tcW w:w="1282" w:type="pct"/>
            <w:vAlign w:val="center"/>
          </w:tcPr>
          <w:p w14:paraId="3B48108F">
            <w:pPr>
              <w:widowControl/>
              <w:rPr>
                <w:color w:val="000000" w:themeColor="text1"/>
                <w:kern w:val="0"/>
              </w:rPr>
            </w:pPr>
          </w:p>
        </w:tc>
        <w:tc>
          <w:tcPr>
            <w:tcW w:w="1152" w:type="pct"/>
            <w:vMerge w:val="continue"/>
            <w:vAlign w:val="center"/>
          </w:tcPr>
          <w:p w14:paraId="34287B55">
            <w:pPr>
              <w:widowControl/>
              <w:rPr>
                <w:color w:val="000000" w:themeColor="text1"/>
                <w:kern w:val="0"/>
              </w:rPr>
            </w:pPr>
          </w:p>
        </w:tc>
      </w:tr>
      <w:tr w14:paraId="4ACC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04107E08">
            <w:pPr>
              <w:widowControl/>
              <w:rPr>
                <w:color w:val="000000" w:themeColor="text1"/>
                <w:kern w:val="0"/>
              </w:rPr>
            </w:pPr>
          </w:p>
        </w:tc>
        <w:tc>
          <w:tcPr>
            <w:tcW w:w="1282" w:type="pct"/>
            <w:vAlign w:val="center"/>
          </w:tcPr>
          <w:p w14:paraId="02318499">
            <w:pPr>
              <w:widowControl/>
              <w:rPr>
                <w:color w:val="000000" w:themeColor="text1"/>
                <w:kern w:val="0"/>
              </w:rPr>
            </w:pPr>
          </w:p>
        </w:tc>
        <w:tc>
          <w:tcPr>
            <w:tcW w:w="1282" w:type="pct"/>
          </w:tcPr>
          <w:p w14:paraId="65CCA0C6">
            <w:pPr>
              <w:widowControl/>
              <w:rPr>
                <w:color w:val="000000" w:themeColor="text1"/>
                <w:kern w:val="0"/>
              </w:rPr>
            </w:pPr>
          </w:p>
        </w:tc>
        <w:tc>
          <w:tcPr>
            <w:tcW w:w="1152" w:type="pct"/>
            <w:vMerge w:val="continue"/>
          </w:tcPr>
          <w:p w14:paraId="104EE5E4">
            <w:pPr>
              <w:widowControl/>
              <w:ind w:firstLine="315" w:firstLineChars="150"/>
              <w:rPr>
                <w:color w:val="000000" w:themeColor="text1"/>
                <w:kern w:val="0"/>
              </w:rPr>
            </w:pPr>
          </w:p>
        </w:tc>
      </w:tr>
      <w:tr w14:paraId="0D6EC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1E7C4F31">
            <w:pPr>
              <w:widowControl/>
              <w:rPr>
                <w:color w:val="000000" w:themeColor="text1"/>
                <w:kern w:val="0"/>
              </w:rPr>
            </w:pPr>
          </w:p>
        </w:tc>
        <w:tc>
          <w:tcPr>
            <w:tcW w:w="1282" w:type="pct"/>
            <w:vAlign w:val="center"/>
          </w:tcPr>
          <w:p w14:paraId="533E8764">
            <w:pPr>
              <w:widowControl/>
              <w:rPr>
                <w:color w:val="000000" w:themeColor="text1"/>
                <w:kern w:val="0"/>
              </w:rPr>
            </w:pPr>
          </w:p>
        </w:tc>
        <w:tc>
          <w:tcPr>
            <w:tcW w:w="1282" w:type="pct"/>
          </w:tcPr>
          <w:p w14:paraId="360169C8">
            <w:pPr>
              <w:widowControl/>
              <w:rPr>
                <w:color w:val="000000" w:themeColor="text1"/>
                <w:kern w:val="0"/>
              </w:rPr>
            </w:pPr>
          </w:p>
        </w:tc>
        <w:tc>
          <w:tcPr>
            <w:tcW w:w="1152" w:type="pct"/>
            <w:vMerge w:val="continue"/>
          </w:tcPr>
          <w:p w14:paraId="617DF793">
            <w:pPr>
              <w:widowControl/>
              <w:rPr>
                <w:color w:val="000000" w:themeColor="text1"/>
                <w:kern w:val="0"/>
              </w:rPr>
            </w:pPr>
          </w:p>
        </w:tc>
      </w:tr>
      <w:tr w14:paraId="367B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38D96331">
            <w:pPr>
              <w:widowControl/>
              <w:rPr>
                <w:color w:val="000000" w:themeColor="text1"/>
                <w:kern w:val="0"/>
              </w:rPr>
            </w:pPr>
          </w:p>
        </w:tc>
        <w:tc>
          <w:tcPr>
            <w:tcW w:w="1282" w:type="pct"/>
            <w:vAlign w:val="center"/>
          </w:tcPr>
          <w:p w14:paraId="1DB3E8FC">
            <w:pPr>
              <w:widowControl/>
              <w:rPr>
                <w:color w:val="000000" w:themeColor="text1"/>
                <w:kern w:val="0"/>
              </w:rPr>
            </w:pPr>
          </w:p>
        </w:tc>
        <w:tc>
          <w:tcPr>
            <w:tcW w:w="1282" w:type="pct"/>
          </w:tcPr>
          <w:p w14:paraId="050EC0DA">
            <w:pPr>
              <w:widowControl/>
              <w:rPr>
                <w:color w:val="000000" w:themeColor="text1"/>
                <w:kern w:val="0"/>
              </w:rPr>
            </w:pPr>
          </w:p>
        </w:tc>
        <w:tc>
          <w:tcPr>
            <w:tcW w:w="1152" w:type="pct"/>
            <w:vMerge w:val="continue"/>
          </w:tcPr>
          <w:p w14:paraId="3A2ABE66">
            <w:pPr>
              <w:widowControl/>
              <w:rPr>
                <w:color w:val="000000" w:themeColor="text1"/>
                <w:kern w:val="0"/>
              </w:rPr>
            </w:pPr>
          </w:p>
        </w:tc>
      </w:tr>
      <w:tr w14:paraId="43FC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1B8D3A90">
            <w:pPr>
              <w:widowControl/>
              <w:rPr>
                <w:color w:val="000000" w:themeColor="text1"/>
                <w:kern w:val="0"/>
              </w:rPr>
            </w:pPr>
          </w:p>
        </w:tc>
        <w:tc>
          <w:tcPr>
            <w:tcW w:w="1282" w:type="pct"/>
            <w:vAlign w:val="center"/>
          </w:tcPr>
          <w:p w14:paraId="009F7E94">
            <w:pPr>
              <w:widowControl/>
              <w:rPr>
                <w:color w:val="000000" w:themeColor="text1"/>
                <w:kern w:val="0"/>
              </w:rPr>
            </w:pPr>
          </w:p>
        </w:tc>
        <w:tc>
          <w:tcPr>
            <w:tcW w:w="1282" w:type="pct"/>
          </w:tcPr>
          <w:p w14:paraId="3A51DF38">
            <w:pPr>
              <w:widowControl/>
              <w:rPr>
                <w:color w:val="000000" w:themeColor="text1"/>
                <w:kern w:val="0"/>
              </w:rPr>
            </w:pPr>
          </w:p>
        </w:tc>
        <w:tc>
          <w:tcPr>
            <w:tcW w:w="1152" w:type="pct"/>
            <w:vMerge w:val="continue"/>
          </w:tcPr>
          <w:p w14:paraId="4D641C52">
            <w:pPr>
              <w:widowControl/>
              <w:rPr>
                <w:color w:val="000000" w:themeColor="text1"/>
                <w:kern w:val="0"/>
              </w:rPr>
            </w:pPr>
          </w:p>
        </w:tc>
      </w:tr>
      <w:tr w14:paraId="4CE5C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286BE711">
            <w:pPr>
              <w:widowControl/>
              <w:rPr>
                <w:color w:val="000000" w:themeColor="text1"/>
                <w:kern w:val="0"/>
              </w:rPr>
            </w:pPr>
          </w:p>
        </w:tc>
        <w:tc>
          <w:tcPr>
            <w:tcW w:w="1282" w:type="pct"/>
            <w:vAlign w:val="center"/>
          </w:tcPr>
          <w:p w14:paraId="55564C7F">
            <w:pPr>
              <w:widowControl/>
              <w:rPr>
                <w:color w:val="000000" w:themeColor="text1"/>
                <w:kern w:val="0"/>
              </w:rPr>
            </w:pPr>
          </w:p>
        </w:tc>
        <w:tc>
          <w:tcPr>
            <w:tcW w:w="1282" w:type="pct"/>
          </w:tcPr>
          <w:p w14:paraId="057597A3">
            <w:pPr>
              <w:widowControl/>
              <w:rPr>
                <w:color w:val="000000" w:themeColor="text1"/>
                <w:kern w:val="0"/>
              </w:rPr>
            </w:pPr>
          </w:p>
        </w:tc>
        <w:tc>
          <w:tcPr>
            <w:tcW w:w="1152" w:type="pct"/>
            <w:vMerge w:val="continue"/>
          </w:tcPr>
          <w:p w14:paraId="00646DF4">
            <w:pPr>
              <w:widowControl/>
              <w:rPr>
                <w:color w:val="000000" w:themeColor="text1"/>
                <w:kern w:val="0"/>
              </w:rPr>
            </w:pPr>
          </w:p>
        </w:tc>
      </w:tr>
      <w:tr w14:paraId="014C7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247C2048">
            <w:pPr>
              <w:widowControl/>
              <w:rPr>
                <w:color w:val="000000" w:themeColor="text1"/>
                <w:kern w:val="0"/>
              </w:rPr>
            </w:pPr>
          </w:p>
        </w:tc>
        <w:tc>
          <w:tcPr>
            <w:tcW w:w="1282" w:type="pct"/>
            <w:vAlign w:val="center"/>
          </w:tcPr>
          <w:p w14:paraId="57547734">
            <w:pPr>
              <w:widowControl/>
              <w:rPr>
                <w:color w:val="000000" w:themeColor="text1"/>
                <w:kern w:val="0"/>
              </w:rPr>
            </w:pPr>
          </w:p>
        </w:tc>
        <w:tc>
          <w:tcPr>
            <w:tcW w:w="1282" w:type="pct"/>
          </w:tcPr>
          <w:p w14:paraId="0231B40C">
            <w:pPr>
              <w:widowControl/>
              <w:rPr>
                <w:color w:val="000000" w:themeColor="text1"/>
                <w:kern w:val="0"/>
              </w:rPr>
            </w:pPr>
          </w:p>
        </w:tc>
        <w:tc>
          <w:tcPr>
            <w:tcW w:w="1152" w:type="pct"/>
            <w:vMerge w:val="continue"/>
          </w:tcPr>
          <w:p w14:paraId="7591368B">
            <w:pPr>
              <w:widowControl/>
              <w:rPr>
                <w:color w:val="000000" w:themeColor="text1"/>
                <w:kern w:val="0"/>
              </w:rPr>
            </w:pPr>
          </w:p>
        </w:tc>
      </w:tr>
      <w:tr w14:paraId="6888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622040D7">
            <w:pPr>
              <w:pStyle w:val="20"/>
              <w:ind w:firstLine="602"/>
              <w:rPr>
                <w:b/>
                <w:bCs/>
                <w:color w:val="000000" w:themeColor="text1"/>
              </w:rPr>
            </w:pPr>
          </w:p>
        </w:tc>
        <w:tc>
          <w:tcPr>
            <w:tcW w:w="1282" w:type="pct"/>
            <w:vAlign w:val="center"/>
          </w:tcPr>
          <w:p w14:paraId="656521EF">
            <w:pPr>
              <w:pStyle w:val="20"/>
              <w:ind w:firstLine="602"/>
              <w:rPr>
                <w:b/>
                <w:bCs/>
                <w:color w:val="000000" w:themeColor="text1"/>
              </w:rPr>
            </w:pPr>
          </w:p>
        </w:tc>
        <w:tc>
          <w:tcPr>
            <w:tcW w:w="1282" w:type="pct"/>
          </w:tcPr>
          <w:p w14:paraId="0F55B404">
            <w:pPr>
              <w:pStyle w:val="20"/>
              <w:ind w:firstLine="602"/>
              <w:rPr>
                <w:b/>
                <w:bCs/>
                <w:color w:val="000000" w:themeColor="text1"/>
              </w:rPr>
            </w:pPr>
          </w:p>
        </w:tc>
        <w:tc>
          <w:tcPr>
            <w:tcW w:w="1152" w:type="pct"/>
            <w:vMerge w:val="continue"/>
          </w:tcPr>
          <w:p w14:paraId="1EED8AFB">
            <w:pPr>
              <w:pStyle w:val="20"/>
              <w:ind w:firstLine="602"/>
              <w:rPr>
                <w:b/>
                <w:bCs/>
                <w:color w:val="000000" w:themeColor="text1"/>
              </w:rPr>
            </w:pPr>
          </w:p>
        </w:tc>
      </w:tr>
      <w:tr w14:paraId="54D00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63615A7C">
            <w:pPr>
              <w:pStyle w:val="20"/>
              <w:ind w:firstLine="602"/>
              <w:rPr>
                <w:b/>
                <w:bCs/>
                <w:color w:val="000000" w:themeColor="text1"/>
              </w:rPr>
            </w:pPr>
          </w:p>
        </w:tc>
        <w:tc>
          <w:tcPr>
            <w:tcW w:w="1282" w:type="pct"/>
            <w:vAlign w:val="center"/>
          </w:tcPr>
          <w:p w14:paraId="467D9C31">
            <w:pPr>
              <w:pStyle w:val="20"/>
              <w:ind w:firstLine="602"/>
              <w:rPr>
                <w:b/>
                <w:bCs/>
                <w:color w:val="000000" w:themeColor="text1"/>
              </w:rPr>
            </w:pPr>
          </w:p>
        </w:tc>
        <w:tc>
          <w:tcPr>
            <w:tcW w:w="1282" w:type="pct"/>
          </w:tcPr>
          <w:p w14:paraId="39DB95B2">
            <w:pPr>
              <w:pStyle w:val="20"/>
              <w:ind w:firstLine="602"/>
              <w:rPr>
                <w:b/>
                <w:bCs/>
                <w:color w:val="000000" w:themeColor="text1"/>
              </w:rPr>
            </w:pPr>
          </w:p>
        </w:tc>
        <w:tc>
          <w:tcPr>
            <w:tcW w:w="1152" w:type="pct"/>
            <w:vMerge w:val="continue"/>
          </w:tcPr>
          <w:p w14:paraId="7BD292AA">
            <w:pPr>
              <w:pStyle w:val="20"/>
              <w:ind w:firstLine="602"/>
              <w:rPr>
                <w:b/>
                <w:bCs/>
                <w:color w:val="000000" w:themeColor="text1"/>
              </w:rPr>
            </w:pPr>
          </w:p>
        </w:tc>
      </w:tr>
      <w:tr w14:paraId="16FDC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146E79FA">
            <w:pPr>
              <w:pStyle w:val="20"/>
              <w:ind w:firstLine="602"/>
              <w:rPr>
                <w:b/>
                <w:bCs/>
                <w:color w:val="000000" w:themeColor="text1"/>
              </w:rPr>
            </w:pPr>
          </w:p>
        </w:tc>
        <w:tc>
          <w:tcPr>
            <w:tcW w:w="1282" w:type="pct"/>
            <w:vAlign w:val="center"/>
          </w:tcPr>
          <w:p w14:paraId="1093E2F3">
            <w:pPr>
              <w:pStyle w:val="20"/>
              <w:ind w:firstLine="602"/>
              <w:rPr>
                <w:b/>
                <w:bCs/>
                <w:color w:val="000000" w:themeColor="text1"/>
              </w:rPr>
            </w:pPr>
          </w:p>
        </w:tc>
        <w:tc>
          <w:tcPr>
            <w:tcW w:w="1282" w:type="pct"/>
          </w:tcPr>
          <w:p w14:paraId="4B89D0B4">
            <w:pPr>
              <w:pStyle w:val="20"/>
              <w:ind w:firstLine="602"/>
              <w:rPr>
                <w:b/>
                <w:bCs/>
                <w:color w:val="000000" w:themeColor="text1"/>
              </w:rPr>
            </w:pPr>
          </w:p>
        </w:tc>
        <w:tc>
          <w:tcPr>
            <w:tcW w:w="1152" w:type="pct"/>
            <w:vMerge w:val="continue"/>
          </w:tcPr>
          <w:p w14:paraId="3E4B8B98">
            <w:pPr>
              <w:pStyle w:val="20"/>
              <w:ind w:firstLine="602"/>
              <w:rPr>
                <w:b/>
                <w:bCs/>
                <w:color w:val="000000" w:themeColor="text1"/>
              </w:rPr>
            </w:pPr>
          </w:p>
        </w:tc>
      </w:tr>
      <w:tr w14:paraId="28764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30402E8A">
            <w:pPr>
              <w:pStyle w:val="20"/>
              <w:ind w:firstLine="602"/>
              <w:rPr>
                <w:b/>
                <w:bCs/>
                <w:color w:val="000000" w:themeColor="text1"/>
              </w:rPr>
            </w:pPr>
          </w:p>
        </w:tc>
        <w:tc>
          <w:tcPr>
            <w:tcW w:w="1282" w:type="pct"/>
            <w:vAlign w:val="center"/>
          </w:tcPr>
          <w:p w14:paraId="2E2A3AB5">
            <w:pPr>
              <w:pStyle w:val="20"/>
              <w:ind w:firstLine="602"/>
              <w:rPr>
                <w:b/>
                <w:bCs/>
                <w:color w:val="000000" w:themeColor="text1"/>
              </w:rPr>
            </w:pPr>
          </w:p>
        </w:tc>
        <w:tc>
          <w:tcPr>
            <w:tcW w:w="1282" w:type="pct"/>
          </w:tcPr>
          <w:p w14:paraId="06392225">
            <w:pPr>
              <w:pStyle w:val="20"/>
              <w:ind w:firstLine="602"/>
              <w:rPr>
                <w:b/>
                <w:bCs/>
                <w:color w:val="000000" w:themeColor="text1"/>
              </w:rPr>
            </w:pPr>
          </w:p>
        </w:tc>
        <w:tc>
          <w:tcPr>
            <w:tcW w:w="1152" w:type="pct"/>
            <w:vMerge w:val="continue"/>
          </w:tcPr>
          <w:p w14:paraId="1B2EA375">
            <w:pPr>
              <w:pStyle w:val="20"/>
              <w:ind w:firstLine="602"/>
              <w:rPr>
                <w:b/>
                <w:bCs/>
                <w:color w:val="000000" w:themeColor="text1"/>
              </w:rPr>
            </w:pPr>
          </w:p>
        </w:tc>
      </w:tr>
      <w:tr w14:paraId="6DFA2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112DF126">
            <w:pPr>
              <w:pStyle w:val="20"/>
              <w:ind w:firstLine="602"/>
              <w:rPr>
                <w:b/>
                <w:bCs/>
                <w:color w:val="000000" w:themeColor="text1"/>
              </w:rPr>
            </w:pPr>
          </w:p>
        </w:tc>
        <w:tc>
          <w:tcPr>
            <w:tcW w:w="1282" w:type="pct"/>
            <w:vAlign w:val="center"/>
          </w:tcPr>
          <w:p w14:paraId="2A690428">
            <w:pPr>
              <w:pStyle w:val="20"/>
              <w:ind w:firstLine="602"/>
              <w:rPr>
                <w:b/>
                <w:bCs/>
                <w:color w:val="000000" w:themeColor="text1"/>
              </w:rPr>
            </w:pPr>
          </w:p>
        </w:tc>
        <w:tc>
          <w:tcPr>
            <w:tcW w:w="1282" w:type="pct"/>
          </w:tcPr>
          <w:p w14:paraId="2D05E734">
            <w:pPr>
              <w:pStyle w:val="20"/>
              <w:ind w:firstLine="602"/>
              <w:rPr>
                <w:b/>
                <w:bCs/>
                <w:color w:val="000000" w:themeColor="text1"/>
              </w:rPr>
            </w:pPr>
          </w:p>
        </w:tc>
        <w:tc>
          <w:tcPr>
            <w:tcW w:w="1152" w:type="pct"/>
            <w:vMerge w:val="continue"/>
          </w:tcPr>
          <w:p w14:paraId="29917F31">
            <w:pPr>
              <w:pStyle w:val="20"/>
              <w:ind w:firstLine="602"/>
              <w:rPr>
                <w:b/>
                <w:bCs/>
                <w:color w:val="000000" w:themeColor="text1"/>
              </w:rPr>
            </w:pPr>
          </w:p>
        </w:tc>
      </w:tr>
      <w:tr w14:paraId="75EFA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65FEBFAD">
            <w:pPr>
              <w:pStyle w:val="20"/>
              <w:ind w:firstLine="602"/>
              <w:rPr>
                <w:b/>
                <w:bCs/>
                <w:color w:val="000000" w:themeColor="text1"/>
              </w:rPr>
            </w:pPr>
          </w:p>
        </w:tc>
        <w:tc>
          <w:tcPr>
            <w:tcW w:w="1282" w:type="pct"/>
            <w:vAlign w:val="center"/>
          </w:tcPr>
          <w:p w14:paraId="614D36A8">
            <w:pPr>
              <w:pStyle w:val="20"/>
              <w:ind w:firstLine="602"/>
              <w:rPr>
                <w:b/>
                <w:bCs/>
                <w:color w:val="000000" w:themeColor="text1"/>
              </w:rPr>
            </w:pPr>
          </w:p>
        </w:tc>
        <w:tc>
          <w:tcPr>
            <w:tcW w:w="1282" w:type="pct"/>
          </w:tcPr>
          <w:p w14:paraId="736A6AEA">
            <w:pPr>
              <w:pStyle w:val="20"/>
              <w:ind w:firstLine="602"/>
              <w:rPr>
                <w:b/>
                <w:bCs/>
                <w:color w:val="000000" w:themeColor="text1"/>
              </w:rPr>
            </w:pPr>
          </w:p>
        </w:tc>
        <w:tc>
          <w:tcPr>
            <w:tcW w:w="1152" w:type="pct"/>
            <w:vMerge w:val="continue"/>
          </w:tcPr>
          <w:p w14:paraId="12FB4C06">
            <w:pPr>
              <w:pStyle w:val="20"/>
              <w:ind w:firstLine="602"/>
              <w:rPr>
                <w:b/>
                <w:bCs/>
                <w:color w:val="000000" w:themeColor="text1"/>
              </w:rPr>
            </w:pPr>
          </w:p>
        </w:tc>
      </w:tr>
      <w:tr w14:paraId="39AC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5321731B">
            <w:pPr>
              <w:pStyle w:val="20"/>
              <w:ind w:firstLine="602"/>
              <w:rPr>
                <w:b/>
                <w:bCs/>
                <w:color w:val="000000" w:themeColor="text1"/>
              </w:rPr>
            </w:pPr>
          </w:p>
        </w:tc>
        <w:tc>
          <w:tcPr>
            <w:tcW w:w="1282" w:type="pct"/>
            <w:vAlign w:val="center"/>
          </w:tcPr>
          <w:p w14:paraId="1A2AD3D4">
            <w:pPr>
              <w:pStyle w:val="20"/>
              <w:ind w:firstLine="602"/>
              <w:rPr>
                <w:b/>
                <w:bCs/>
                <w:color w:val="000000" w:themeColor="text1"/>
              </w:rPr>
            </w:pPr>
          </w:p>
        </w:tc>
        <w:tc>
          <w:tcPr>
            <w:tcW w:w="1282" w:type="pct"/>
          </w:tcPr>
          <w:p w14:paraId="1C789538">
            <w:pPr>
              <w:pStyle w:val="20"/>
              <w:ind w:firstLine="602"/>
              <w:rPr>
                <w:b/>
                <w:bCs/>
                <w:color w:val="000000" w:themeColor="text1"/>
              </w:rPr>
            </w:pPr>
          </w:p>
        </w:tc>
        <w:tc>
          <w:tcPr>
            <w:tcW w:w="1152" w:type="pct"/>
            <w:vMerge w:val="continue"/>
          </w:tcPr>
          <w:p w14:paraId="1CB9C037">
            <w:pPr>
              <w:pStyle w:val="20"/>
              <w:ind w:firstLine="602"/>
              <w:rPr>
                <w:b/>
                <w:bCs/>
                <w:color w:val="000000" w:themeColor="text1"/>
              </w:rPr>
            </w:pPr>
          </w:p>
        </w:tc>
      </w:tr>
      <w:tr w14:paraId="36AD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65" w:type="pct"/>
            <w:gridSpan w:val="2"/>
            <w:vAlign w:val="center"/>
          </w:tcPr>
          <w:p w14:paraId="3FB970C1">
            <w:pPr>
              <w:widowControl/>
              <w:rPr>
                <w:color w:val="000000" w:themeColor="text1"/>
                <w:kern w:val="0"/>
              </w:rPr>
            </w:pPr>
            <w:r>
              <w:rPr>
                <w:rFonts w:hint="eastAsia" w:cs="宋体"/>
                <w:color w:val="000000" w:themeColor="text1"/>
                <w:kern w:val="0"/>
              </w:rPr>
              <w:t>拟分包工程造价合计（万元）</w:t>
            </w:r>
          </w:p>
        </w:tc>
        <w:tc>
          <w:tcPr>
            <w:tcW w:w="1282" w:type="pct"/>
          </w:tcPr>
          <w:p w14:paraId="05AFC9B1">
            <w:pPr>
              <w:pStyle w:val="20"/>
              <w:ind w:firstLine="602"/>
              <w:rPr>
                <w:b/>
                <w:bCs/>
                <w:color w:val="000000" w:themeColor="text1"/>
              </w:rPr>
            </w:pPr>
          </w:p>
        </w:tc>
        <w:tc>
          <w:tcPr>
            <w:tcW w:w="1152" w:type="pct"/>
            <w:vMerge w:val="continue"/>
          </w:tcPr>
          <w:p w14:paraId="3B1778FA">
            <w:pPr>
              <w:pStyle w:val="20"/>
              <w:ind w:firstLine="602"/>
              <w:rPr>
                <w:b/>
                <w:bCs/>
                <w:color w:val="000000" w:themeColor="text1"/>
              </w:rPr>
            </w:pPr>
          </w:p>
        </w:tc>
      </w:tr>
    </w:tbl>
    <w:p w14:paraId="63E7F83D">
      <w:pPr>
        <w:pStyle w:val="169"/>
        <w:tabs>
          <w:tab w:val="left" w:pos="540"/>
        </w:tabs>
        <w:spacing w:line="360" w:lineRule="exact"/>
        <w:ind w:left="0" w:firstLine="413" w:firstLineChars="196"/>
        <w:rPr>
          <w:rFonts w:ascii="Times New Roman" w:hAnsi="Times New Roman"/>
          <w:b/>
          <w:bCs/>
          <w:color w:val="000000" w:themeColor="text1"/>
          <w:sz w:val="21"/>
          <w:szCs w:val="21"/>
          <w:u w:val="single"/>
        </w:rPr>
      </w:pPr>
      <w:r>
        <w:rPr>
          <w:rFonts w:hint="eastAsia" w:ascii="Times New Roman" w:hAnsi="Times New Roman"/>
          <w:b/>
          <w:bCs/>
          <w:color w:val="000000" w:themeColor="text1"/>
          <w:sz w:val="21"/>
          <w:szCs w:val="21"/>
          <w:u w:val="single"/>
        </w:rPr>
        <w:t>注：本表不可缺省；本项目不许分包。</w:t>
      </w:r>
    </w:p>
    <w:p w14:paraId="71401B06">
      <w:pPr>
        <w:pStyle w:val="169"/>
        <w:tabs>
          <w:tab w:val="left" w:pos="540"/>
        </w:tabs>
        <w:spacing w:line="360" w:lineRule="exact"/>
        <w:ind w:left="0" w:firstLine="472" w:firstLineChars="196"/>
        <w:rPr>
          <w:rFonts w:ascii="Times New Roman" w:hAnsi="Times New Roman" w:cs="Times New Roman"/>
          <w:b/>
          <w:bCs/>
          <w:color w:val="000000" w:themeColor="text1"/>
          <w:u w:val="single"/>
        </w:rPr>
      </w:pPr>
    </w:p>
    <w:p w14:paraId="39AB5E26">
      <w:pPr>
        <w:pStyle w:val="169"/>
        <w:tabs>
          <w:tab w:val="left" w:pos="540"/>
        </w:tabs>
        <w:spacing w:line="360" w:lineRule="exact"/>
        <w:ind w:left="0" w:firstLine="954" w:firstLineChars="396"/>
        <w:rPr>
          <w:rFonts w:ascii="Times New Roman" w:hAnsi="Times New Roman" w:cs="Times New Roman"/>
          <w:b/>
          <w:bCs/>
          <w:color w:val="000000" w:themeColor="text1"/>
          <w:u w:val="single"/>
        </w:rPr>
      </w:pPr>
    </w:p>
    <w:p w14:paraId="4372C20D">
      <w:pPr>
        <w:pStyle w:val="169"/>
        <w:tabs>
          <w:tab w:val="left" w:pos="540"/>
        </w:tabs>
        <w:spacing w:line="360" w:lineRule="exact"/>
        <w:ind w:left="0" w:firstLine="954" w:firstLineChars="396"/>
        <w:rPr>
          <w:rFonts w:ascii="Times New Roman" w:hAnsi="Times New Roman" w:cs="Times New Roman"/>
          <w:b/>
          <w:bCs/>
          <w:color w:val="000000" w:themeColor="text1"/>
          <w:u w:val="single"/>
        </w:rPr>
      </w:pPr>
    </w:p>
    <w:p w14:paraId="4489EE0E">
      <w:pPr>
        <w:pStyle w:val="169"/>
        <w:tabs>
          <w:tab w:val="left" w:pos="540"/>
        </w:tabs>
        <w:spacing w:line="360" w:lineRule="exact"/>
        <w:ind w:left="0" w:firstLine="954" w:firstLineChars="396"/>
        <w:rPr>
          <w:rFonts w:ascii="Times New Roman" w:hAnsi="Times New Roman" w:cs="Times New Roman"/>
          <w:b/>
          <w:bCs/>
          <w:color w:val="000000" w:themeColor="text1"/>
          <w:u w:val="single"/>
        </w:rPr>
        <w:sectPr>
          <w:pgSz w:w="11906" w:h="16838"/>
          <w:pgMar w:top="1361" w:right="1304" w:bottom="1361" w:left="1474" w:header="851" w:footer="992" w:gutter="0"/>
          <w:cols w:space="720" w:num="1"/>
          <w:docGrid w:linePitch="312" w:charSpace="0"/>
        </w:sectPr>
      </w:pPr>
    </w:p>
    <w:p w14:paraId="63ED3463">
      <w:pPr>
        <w:pStyle w:val="20"/>
        <w:jc w:val="center"/>
        <w:rPr>
          <w:rFonts w:cs="宋体"/>
          <w:b/>
          <w:bCs/>
          <w:color w:val="000000" w:themeColor="text1"/>
          <w:sz w:val="30"/>
          <w:szCs w:val="30"/>
        </w:rPr>
      </w:pPr>
      <w:r>
        <w:rPr>
          <w:rFonts w:hint="eastAsia" w:cs="宋体"/>
          <w:b/>
          <w:bCs/>
          <w:color w:val="000000" w:themeColor="text1"/>
          <w:sz w:val="30"/>
          <w:szCs w:val="30"/>
        </w:rPr>
        <w:t>五、资格审查资料</w:t>
      </w:r>
    </w:p>
    <w:p w14:paraId="20933A3A">
      <w:pPr>
        <w:ind w:firstLine="559" w:firstLineChars="233"/>
        <w:rPr>
          <w:color w:val="000000" w:themeColor="text1"/>
          <w:sz w:val="24"/>
          <w:szCs w:val="24"/>
        </w:rPr>
      </w:pPr>
    </w:p>
    <w:p w14:paraId="34A922D9">
      <w:pPr>
        <w:jc w:val="left"/>
        <w:rPr>
          <w:b/>
          <w:color w:val="000000" w:themeColor="text1"/>
          <w:sz w:val="24"/>
          <w:szCs w:val="24"/>
          <w:u w:val="single"/>
        </w:rPr>
      </w:pPr>
    </w:p>
    <w:p w14:paraId="532C31D8">
      <w:pPr>
        <w:jc w:val="left"/>
        <w:rPr>
          <w:b/>
          <w:color w:val="000000" w:themeColor="text1"/>
          <w:sz w:val="24"/>
          <w:szCs w:val="24"/>
          <w:u w:val="single"/>
        </w:rPr>
      </w:pPr>
    </w:p>
    <w:p w14:paraId="45EE0D74">
      <w:pPr>
        <w:ind w:firstLine="482"/>
        <w:rPr>
          <w:rFonts w:eastAsia="黑体"/>
          <w:b/>
          <w:bCs/>
          <w:color w:val="000000" w:themeColor="text1"/>
          <w:sz w:val="24"/>
          <w:szCs w:val="24"/>
          <w:u w:val="single"/>
        </w:rPr>
      </w:pPr>
    </w:p>
    <w:p w14:paraId="2127776C">
      <w:pPr>
        <w:ind w:firstLine="482"/>
        <w:jc w:val="left"/>
        <w:rPr>
          <w:rFonts w:eastAsia="黑体"/>
          <w:b/>
          <w:bCs/>
          <w:color w:val="000000" w:themeColor="text1"/>
          <w:sz w:val="24"/>
          <w:szCs w:val="24"/>
          <w:u w:val="single"/>
        </w:rPr>
      </w:pPr>
    </w:p>
    <w:p w14:paraId="4E9A8B41">
      <w:pPr>
        <w:ind w:firstLine="482"/>
        <w:rPr>
          <w:b/>
          <w:bCs/>
          <w:color w:val="000000" w:themeColor="text1"/>
          <w:sz w:val="24"/>
          <w:szCs w:val="24"/>
          <w:u w:val="single"/>
        </w:rPr>
      </w:pPr>
    </w:p>
    <w:p w14:paraId="7D623565">
      <w:pPr>
        <w:ind w:firstLine="482"/>
        <w:rPr>
          <w:rFonts w:eastAsia="黑体"/>
          <w:b/>
          <w:bCs/>
          <w:snapToGrid w:val="0"/>
          <w:color w:val="000000" w:themeColor="text1"/>
          <w:kern w:val="0"/>
          <w:sz w:val="24"/>
          <w:szCs w:val="24"/>
        </w:rPr>
      </w:pPr>
    </w:p>
    <w:p w14:paraId="653CBF6F">
      <w:pPr>
        <w:pStyle w:val="20"/>
        <w:ind w:firstLine="602"/>
        <w:rPr>
          <w:rFonts w:eastAsia="黑体"/>
          <w:b/>
          <w:bCs/>
          <w:color w:val="000000" w:themeColor="text1"/>
        </w:rPr>
        <w:sectPr>
          <w:pgSz w:w="11906" w:h="16838"/>
          <w:pgMar w:top="1389" w:right="1474" w:bottom="1389" w:left="1644" w:header="851" w:footer="992" w:gutter="0"/>
          <w:cols w:space="720" w:num="1"/>
          <w:docGrid w:linePitch="312" w:charSpace="0"/>
        </w:sectPr>
      </w:pPr>
    </w:p>
    <w:p w14:paraId="07E97C17">
      <w:pPr>
        <w:pStyle w:val="20"/>
        <w:jc w:val="center"/>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b/>
          <w:bCs/>
          <w:color w:val="000000" w:themeColor="text1"/>
          <w:sz w:val="28"/>
          <w:szCs w:val="28"/>
        </w:rPr>
        <w:t>表1企业信息基本表</w:t>
      </w:r>
    </w:p>
    <w:tbl>
      <w:tblPr>
        <w:tblStyle w:val="48"/>
        <w:tblW w:w="5000" w:type="pct"/>
        <w:tblInd w:w="0" w:type="dxa"/>
        <w:tblLayout w:type="autofit"/>
        <w:tblCellMar>
          <w:top w:w="0" w:type="dxa"/>
          <w:left w:w="0" w:type="dxa"/>
          <w:bottom w:w="0" w:type="dxa"/>
          <w:right w:w="0" w:type="dxa"/>
        </w:tblCellMar>
      </w:tblPr>
      <w:tblGrid>
        <w:gridCol w:w="1467"/>
        <w:gridCol w:w="1467"/>
        <w:gridCol w:w="1467"/>
        <w:gridCol w:w="1471"/>
        <w:gridCol w:w="1468"/>
        <w:gridCol w:w="1468"/>
      </w:tblGrid>
      <w:tr w14:paraId="4D4E1D56">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F4CE0B4">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申请人全称：</w:t>
            </w:r>
          </w:p>
        </w:tc>
        <w:tc>
          <w:tcPr>
            <w:tcW w:w="4167"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975A956">
            <w:pPr>
              <w:widowControl/>
              <w:jc w:val="left"/>
              <w:rPr>
                <w:rFonts w:asciiTheme="minorEastAsia" w:hAnsiTheme="minorEastAsia" w:eastAsiaTheme="minorEastAsia" w:cstheme="minorEastAsia"/>
                <w:color w:val="000000" w:themeColor="text1"/>
              </w:rPr>
            </w:pPr>
          </w:p>
        </w:tc>
      </w:tr>
      <w:tr w14:paraId="6830ABA1">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DD7019F">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主要业务：</w:t>
            </w:r>
          </w:p>
        </w:tc>
        <w:tc>
          <w:tcPr>
            <w:tcW w:w="4167"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75FA1FD5">
            <w:pPr>
              <w:widowControl/>
              <w:jc w:val="left"/>
              <w:rPr>
                <w:rFonts w:asciiTheme="minorEastAsia" w:hAnsiTheme="minorEastAsia" w:eastAsiaTheme="minorEastAsia" w:cstheme="minorEastAsia"/>
                <w:color w:val="000000" w:themeColor="text1"/>
              </w:rPr>
            </w:pPr>
          </w:p>
        </w:tc>
      </w:tr>
      <w:tr w14:paraId="7A0BB72C">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E62951F">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营业范围：</w:t>
            </w:r>
          </w:p>
        </w:tc>
        <w:tc>
          <w:tcPr>
            <w:tcW w:w="4167"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52D4C44">
            <w:pPr>
              <w:widowControl/>
              <w:jc w:val="left"/>
              <w:rPr>
                <w:rFonts w:asciiTheme="minorEastAsia" w:hAnsiTheme="minorEastAsia" w:eastAsiaTheme="minorEastAsia" w:cstheme="minorEastAsia"/>
                <w:color w:val="000000" w:themeColor="text1"/>
              </w:rPr>
            </w:pPr>
          </w:p>
        </w:tc>
      </w:tr>
      <w:tr w14:paraId="0680FB1D">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4A1324F">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统一社会信用代码：</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1B69E3B">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B206CC2">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注册资本(元)：</w:t>
            </w:r>
          </w:p>
        </w:tc>
        <w:tc>
          <w:tcPr>
            <w:tcW w:w="834"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3CFA1F1D">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73FB7169">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信用等级：</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1EB86D4">
            <w:pPr>
              <w:widowControl/>
              <w:jc w:val="left"/>
              <w:rPr>
                <w:rFonts w:asciiTheme="minorEastAsia" w:hAnsiTheme="minorEastAsia" w:eastAsiaTheme="minorEastAsia" w:cstheme="minorEastAsia"/>
                <w:color w:val="000000" w:themeColor="text1"/>
              </w:rPr>
            </w:pPr>
          </w:p>
        </w:tc>
      </w:tr>
      <w:tr w14:paraId="1C5EC29A">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2A6D93C">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建立日期：</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A532358">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0DB08613">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现有职工总人数(人)：</w:t>
            </w:r>
          </w:p>
        </w:tc>
        <w:tc>
          <w:tcPr>
            <w:tcW w:w="2500"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007450B2">
            <w:pPr>
              <w:widowControl/>
              <w:jc w:val="left"/>
              <w:rPr>
                <w:rFonts w:asciiTheme="minorEastAsia" w:hAnsiTheme="minorEastAsia" w:eastAsiaTheme="minorEastAsia" w:cstheme="minorEastAsia"/>
                <w:color w:val="000000" w:themeColor="text1"/>
              </w:rPr>
            </w:pPr>
          </w:p>
        </w:tc>
      </w:tr>
      <w:tr w14:paraId="66B0BDAE">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AD4E1C2">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办公地址：</w:t>
            </w:r>
          </w:p>
        </w:tc>
        <w:tc>
          <w:tcPr>
            <w:tcW w:w="2501"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36C19B0">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2812BEC">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邮编：</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BD783EF">
            <w:pPr>
              <w:widowControl/>
              <w:jc w:val="left"/>
              <w:rPr>
                <w:rFonts w:asciiTheme="minorEastAsia" w:hAnsiTheme="minorEastAsia" w:eastAsiaTheme="minorEastAsia" w:cstheme="minorEastAsia"/>
                <w:color w:val="000000" w:themeColor="text1"/>
              </w:rPr>
            </w:pPr>
          </w:p>
        </w:tc>
      </w:tr>
      <w:tr w14:paraId="361386DF">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B863002">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联系电话：</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792123AC">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6E9B199">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传真：</w:t>
            </w:r>
          </w:p>
        </w:tc>
        <w:tc>
          <w:tcPr>
            <w:tcW w:w="2500"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1A84290">
            <w:pPr>
              <w:widowControl/>
              <w:jc w:val="left"/>
              <w:rPr>
                <w:rFonts w:asciiTheme="minorEastAsia" w:hAnsiTheme="minorEastAsia" w:eastAsiaTheme="minorEastAsia" w:cstheme="minorEastAsia"/>
                <w:color w:val="000000" w:themeColor="text1"/>
              </w:rPr>
            </w:pPr>
          </w:p>
        </w:tc>
      </w:tr>
      <w:tr w14:paraId="6E69CA9C">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3BDDA2C">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法人代表姓名：</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38164A7">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0C3A8E4">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职务：</w:t>
            </w:r>
          </w:p>
        </w:tc>
        <w:tc>
          <w:tcPr>
            <w:tcW w:w="834"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7A8708CF">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E6C8F34">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联系电话：</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4BE4427">
            <w:pPr>
              <w:widowControl/>
              <w:jc w:val="left"/>
              <w:rPr>
                <w:rFonts w:asciiTheme="minorEastAsia" w:hAnsiTheme="minorEastAsia" w:eastAsiaTheme="minorEastAsia" w:cstheme="minorEastAsia"/>
                <w:color w:val="000000" w:themeColor="text1"/>
              </w:rPr>
            </w:pPr>
          </w:p>
        </w:tc>
      </w:tr>
      <w:tr w14:paraId="29B0B182">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071F026">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技术负责人姓名：</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7B014F1A">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3C6FAFC">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技术负责人职务：</w:t>
            </w:r>
          </w:p>
        </w:tc>
        <w:tc>
          <w:tcPr>
            <w:tcW w:w="834"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39A66C8">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8F79854">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技术负责人电话：</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5E69DC3">
            <w:pPr>
              <w:widowControl/>
              <w:jc w:val="left"/>
              <w:rPr>
                <w:rFonts w:asciiTheme="minorEastAsia" w:hAnsiTheme="minorEastAsia" w:eastAsiaTheme="minorEastAsia" w:cstheme="minorEastAsia"/>
                <w:color w:val="000000" w:themeColor="text1"/>
              </w:rPr>
            </w:pPr>
          </w:p>
        </w:tc>
      </w:tr>
      <w:tr w14:paraId="0FCC8F7B">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84211A9">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联系人姓名：</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78BDC8E8">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3F62D4A7">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联系人职务：</w:t>
            </w:r>
          </w:p>
        </w:tc>
        <w:tc>
          <w:tcPr>
            <w:tcW w:w="834"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C20616A">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1134A00">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联系人电话：</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C32584C">
            <w:pPr>
              <w:widowControl/>
              <w:jc w:val="left"/>
              <w:rPr>
                <w:rFonts w:asciiTheme="minorEastAsia" w:hAnsiTheme="minorEastAsia" w:eastAsiaTheme="minorEastAsia" w:cstheme="minorEastAsia"/>
                <w:color w:val="000000" w:themeColor="text1"/>
              </w:rPr>
            </w:pPr>
          </w:p>
        </w:tc>
      </w:tr>
      <w:tr w14:paraId="55D11F8B">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30C40647">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联系人邮箱：</w:t>
            </w:r>
          </w:p>
        </w:tc>
        <w:tc>
          <w:tcPr>
            <w:tcW w:w="4167"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7DC1FD0">
            <w:pPr>
              <w:widowControl/>
              <w:jc w:val="left"/>
              <w:rPr>
                <w:rFonts w:asciiTheme="minorEastAsia" w:hAnsiTheme="minorEastAsia" w:eastAsiaTheme="minorEastAsia" w:cstheme="minorEastAsia"/>
                <w:color w:val="000000" w:themeColor="text1"/>
              </w:rPr>
            </w:pPr>
          </w:p>
        </w:tc>
      </w:tr>
      <w:tr w14:paraId="74E0E50E">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564E445">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企业资质名称及等级：</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A165128">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B8CB3DF">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企业资质证书号：</w:t>
            </w:r>
          </w:p>
        </w:tc>
        <w:tc>
          <w:tcPr>
            <w:tcW w:w="834"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377FB116">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3297045">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企业资质有效期：</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5D51864">
            <w:pPr>
              <w:widowControl/>
              <w:jc w:val="left"/>
              <w:rPr>
                <w:rFonts w:asciiTheme="minorEastAsia" w:hAnsiTheme="minorEastAsia" w:eastAsiaTheme="minorEastAsia" w:cstheme="minorEastAsia"/>
                <w:color w:val="000000" w:themeColor="text1"/>
              </w:rPr>
            </w:pPr>
          </w:p>
        </w:tc>
      </w:tr>
      <w:tr w14:paraId="6FDCEA01">
        <w:tblPrEx>
          <w:tblCellMar>
            <w:top w:w="0" w:type="dxa"/>
            <w:left w:w="0" w:type="dxa"/>
            <w:bottom w:w="0" w:type="dxa"/>
            <w:right w:w="0" w:type="dxa"/>
          </w:tblCellMar>
        </w:tblPrEx>
        <w:trPr>
          <w:trHeight w:val="52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75E6CA7">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安全许可证证书编号：</w:t>
            </w:r>
          </w:p>
        </w:tc>
        <w:tc>
          <w:tcPr>
            <w:tcW w:w="2501"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C9E0F14">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9BA20DF">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安全许可证证书有效期：</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DF26E50">
            <w:pPr>
              <w:widowControl/>
              <w:jc w:val="left"/>
              <w:rPr>
                <w:rFonts w:asciiTheme="minorEastAsia" w:hAnsiTheme="minorEastAsia" w:eastAsiaTheme="minorEastAsia" w:cstheme="minorEastAsia"/>
                <w:color w:val="000000" w:themeColor="text1"/>
              </w:rPr>
            </w:pPr>
          </w:p>
        </w:tc>
      </w:tr>
      <w:tr w14:paraId="34A31274">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06B23EA2">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基本户开户行：</w:t>
            </w:r>
          </w:p>
        </w:tc>
        <w:tc>
          <w:tcPr>
            <w:tcW w:w="2501"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056E50AA">
            <w:pPr>
              <w:widowControl/>
              <w:jc w:val="left"/>
              <w:rPr>
                <w:rFonts w:asciiTheme="minorEastAsia" w:hAnsiTheme="minorEastAsia" w:eastAsiaTheme="minorEastAsia" w:cstheme="minorEastAsia"/>
                <w:color w:val="000000" w:themeColor="text1"/>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5B81FC9">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基本户户名：</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85D485C">
            <w:pPr>
              <w:widowControl/>
              <w:jc w:val="left"/>
              <w:rPr>
                <w:rFonts w:asciiTheme="minorEastAsia" w:hAnsiTheme="minorEastAsia" w:eastAsiaTheme="minorEastAsia" w:cstheme="minorEastAsia"/>
                <w:color w:val="000000" w:themeColor="text1"/>
              </w:rPr>
            </w:pPr>
          </w:p>
        </w:tc>
      </w:tr>
      <w:tr w14:paraId="09CFF1E1">
        <w:tblPrEx>
          <w:tblCellMar>
            <w:top w:w="0" w:type="dxa"/>
            <w:left w:w="0" w:type="dxa"/>
            <w:bottom w:w="0" w:type="dxa"/>
            <w:right w:w="0" w:type="dxa"/>
          </w:tblCellMar>
        </w:tblPrEx>
        <w:trPr>
          <w:trHeight w:val="260" w:hRule="atLeast"/>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B5D0F33">
            <w:pPr>
              <w:widowControl/>
              <w:jc w:val="left"/>
              <w:textAlignment w:val="bottom"/>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kern w:val="0"/>
              </w:rPr>
              <w:t>基本户账号：</w:t>
            </w:r>
          </w:p>
        </w:tc>
        <w:tc>
          <w:tcPr>
            <w:tcW w:w="4167"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757A6C8C">
            <w:pPr>
              <w:widowControl/>
              <w:jc w:val="left"/>
              <w:rPr>
                <w:rFonts w:asciiTheme="minorEastAsia" w:hAnsiTheme="minorEastAsia" w:eastAsiaTheme="minorEastAsia" w:cstheme="minorEastAsia"/>
                <w:color w:val="000000" w:themeColor="text1"/>
              </w:rPr>
            </w:pPr>
          </w:p>
        </w:tc>
      </w:tr>
    </w:tbl>
    <w:p w14:paraId="31D9205B">
      <w:pPr>
        <w:snapToGrid w:val="0"/>
        <w:spacing w:line="312" w:lineRule="auto"/>
        <w:jc w:val="left"/>
        <w:rPr>
          <w:b/>
          <w:color w:val="000000" w:themeColor="text1"/>
        </w:rPr>
      </w:pPr>
      <w:r>
        <w:rPr>
          <w:rFonts w:hint="eastAsia"/>
          <w:b/>
          <w:color w:val="000000" w:themeColor="text1"/>
        </w:rPr>
        <w:t>注：</w:t>
      </w:r>
    </w:p>
    <w:p w14:paraId="325398AF">
      <w:pPr>
        <w:tabs>
          <w:tab w:val="left" w:pos="3375"/>
        </w:tabs>
        <w:snapToGrid w:val="0"/>
        <w:spacing w:line="360" w:lineRule="auto"/>
        <w:ind w:firstLine="422" w:firstLineChars="200"/>
        <w:outlineLvl w:val="2"/>
        <w:rPr>
          <w:rFonts w:ascii="宋体" w:hAnsi="宋体" w:cs="宋体"/>
          <w:b/>
        </w:rPr>
      </w:pPr>
      <w:r>
        <w:rPr>
          <w:rFonts w:hint="eastAsia"/>
          <w:b/>
          <w:color w:val="000000" w:themeColor="text1"/>
        </w:rPr>
        <w:t>提供投标人资格条件相应的佐证材料</w:t>
      </w:r>
      <w:r>
        <w:rPr>
          <w:rFonts w:hint="eastAsia" w:ascii="宋体" w:hAnsi="宋体" w:cs="宋体"/>
          <w:b/>
        </w:rPr>
        <w:t>（以下材料均须提供扫描件（或复印件）并加盖公章）：</w:t>
      </w:r>
    </w:p>
    <w:p w14:paraId="319EB1DD">
      <w:pPr>
        <w:tabs>
          <w:tab w:val="left" w:pos="3375"/>
        </w:tabs>
        <w:snapToGrid w:val="0"/>
        <w:spacing w:line="360" w:lineRule="auto"/>
        <w:ind w:firstLine="422" w:firstLineChars="200"/>
        <w:outlineLvl w:val="2"/>
        <w:rPr>
          <w:b/>
          <w:color w:val="000000" w:themeColor="text1"/>
        </w:rPr>
      </w:pPr>
      <w:r>
        <w:rPr>
          <w:rFonts w:hint="eastAsia"/>
          <w:b/>
          <w:color w:val="000000" w:themeColor="text1"/>
        </w:rPr>
        <w:t>①营业执照（或事业单位法人登记证书）</w:t>
      </w:r>
    </w:p>
    <w:p w14:paraId="1F9CC8B7">
      <w:pPr>
        <w:tabs>
          <w:tab w:val="left" w:pos="3375"/>
        </w:tabs>
        <w:snapToGrid w:val="0"/>
        <w:spacing w:line="360" w:lineRule="auto"/>
        <w:ind w:firstLine="422" w:firstLineChars="200"/>
        <w:outlineLvl w:val="2"/>
        <w:rPr>
          <w:b/>
          <w:color w:val="000000" w:themeColor="text1"/>
        </w:rPr>
      </w:pPr>
      <w:r>
        <w:rPr>
          <w:rFonts w:hint="eastAsia"/>
          <w:b/>
          <w:color w:val="000000" w:themeColor="text1"/>
        </w:rPr>
        <w:t>②有效的基本账户开户许可证或基本存款账户信息</w:t>
      </w:r>
    </w:p>
    <w:p w14:paraId="38895694">
      <w:pPr>
        <w:tabs>
          <w:tab w:val="left" w:pos="3375"/>
        </w:tabs>
        <w:snapToGrid w:val="0"/>
        <w:spacing w:line="360" w:lineRule="auto"/>
        <w:ind w:firstLine="422" w:firstLineChars="200"/>
        <w:outlineLvl w:val="2"/>
        <w:rPr>
          <w:b/>
          <w:color w:val="000000" w:themeColor="text1"/>
        </w:rPr>
      </w:pPr>
      <w:r>
        <w:rPr>
          <w:rFonts w:hint="eastAsia"/>
          <w:b/>
          <w:color w:val="000000" w:themeColor="text1"/>
        </w:rPr>
        <w:t>③建设行政主管部门颁发的建筑工程施工总承包叁级及以上资质</w:t>
      </w:r>
    </w:p>
    <w:p w14:paraId="0AE056DB">
      <w:pPr>
        <w:tabs>
          <w:tab w:val="left" w:pos="3375"/>
        </w:tabs>
        <w:snapToGrid w:val="0"/>
        <w:spacing w:line="360" w:lineRule="auto"/>
        <w:ind w:firstLine="422" w:firstLineChars="200"/>
        <w:outlineLvl w:val="2"/>
        <w:rPr>
          <w:b/>
          <w:color w:val="000000" w:themeColor="text1"/>
        </w:rPr>
      </w:pPr>
      <w:r>
        <w:rPr>
          <w:rFonts w:hint="eastAsia"/>
          <w:b/>
          <w:color w:val="000000" w:themeColor="text1"/>
        </w:rPr>
        <w:t>④省级（或以上）建设行政主管部门核发的《安全生产许可证》；</w:t>
      </w:r>
    </w:p>
    <w:p w14:paraId="6EE17660">
      <w:pPr>
        <w:ind w:firstLine="482"/>
        <w:jc w:val="center"/>
        <w:rPr>
          <w:b/>
          <w:bCs/>
          <w:color w:val="000000" w:themeColor="text1"/>
          <w:sz w:val="24"/>
          <w:szCs w:val="24"/>
        </w:rPr>
        <w:sectPr>
          <w:pgSz w:w="11906" w:h="16838"/>
          <w:pgMar w:top="1389" w:right="1474" w:bottom="1389" w:left="1644" w:header="851" w:footer="992" w:gutter="0"/>
          <w:cols w:space="720" w:num="1"/>
          <w:docGrid w:linePitch="312" w:charSpace="0"/>
        </w:sectPr>
      </w:pPr>
    </w:p>
    <w:p w14:paraId="2D20F585">
      <w:pPr>
        <w:pStyle w:val="20"/>
        <w:jc w:val="center"/>
        <w:rPr>
          <w:rFonts w:asciiTheme="minorEastAsia" w:hAnsiTheme="minorEastAsia" w:eastAsiaTheme="minorEastAsia" w:cstheme="minorEastAsia"/>
          <w:b/>
          <w:bCs/>
          <w:color w:val="000000" w:themeColor="text1"/>
          <w:sz w:val="28"/>
          <w:szCs w:val="28"/>
        </w:rPr>
      </w:pPr>
      <w:r>
        <w:rPr>
          <w:rFonts w:hint="eastAsia" w:asciiTheme="minorEastAsia" w:hAnsiTheme="minorEastAsia" w:eastAsiaTheme="minorEastAsia" w:cstheme="minorEastAsia"/>
          <w:b/>
          <w:bCs/>
          <w:color w:val="000000" w:themeColor="text1"/>
          <w:sz w:val="28"/>
          <w:szCs w:val="28"/>
        </w:rPr>
        <w:t>表2 拟投入本标段主要人员情况表</w:t>
      </w:r>
    </w:p>
    <w:tbl>
      <w:tblPr>
        <w:tblStyle w:val="48"/>
        <w:tblW w:w="4996" w:type="pct"/>
        <w:tblInd w:w="0" w:type="dxa"/>
        <w:tblLayout w:type="autofit"/>
        <w:tblCellMar>
          <w:top w:w="0" w:type="dxa"/>
          <w:left w:w="0" w:type="dxa"/>
          <w:bottom w:w="0" w:type="dxa"/>
          <w:right w:w="0" w:type="dxa"/>
        </w:tblCellMar>
      </w:tblPr>
      <w:tblGrid>
        <w:gridCol w:w="368"/>
        <w:gridCol w:w="966"/>
        <w:gridCol w:w="360"/>
        <w:gridCol w:w="434"/>
        <w:gridCol w:w="636"/>
        <w:gridCol w:w="666"/>
        <w:gridCol w:w="578"/>
        <w:gridCol w:w="372"/>
        <w:gridCol w:w="1165"/>
        <w:gridCol w:w="813"/>
        <w:gridCol w:w="813"/>
        <w:gridCol w:w="813"/>
        <w:gridCol w:w="817"/>
      </w:tblGrid>
      <w:tr w14:paraId="016AB171">
        <w:tblPrEx>
          <w:tblCellMar>
            <w:top w:w="0" w:type="dxa"/>
            <w:left w:w="0" w:type="dxa"/>
            <w:bottom w:w="0" w:type="dxa"/>
            <w:right w:w="0" w:type="dxa"/>
          </w:tblCellMar>
        </w:tblPrEx>
        <w:trPr>
          <w:trHeight w:val="1134" w:hRule="atLeast"/>
        </w:trPr>
        <w:tc>
          <w:tcPr>
            <w:tcW w:w="2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1D0D5099">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序号</w:t>
            </w:r>
          </w:p>
        </w:tc>
        <w:tc>
          <w:tcPr>
            <w:tcW w:w="54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FAAF9A6">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在本项目中担任职务</w:t>
            </w:r>
          </w:p>
        </w:tc>
        <w:tc>
          <w:tcPr>
            <w:tcW w:w="2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3EC3D63F">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姓名</w:t>
            </w:r>
          </w:p>
        </w:tc>
        <w:tc>
          <w:tcPr>
            <w:tcW w:w="24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8ACB11E">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年龄</w:t>
            </w:r>
          </w:p>
        </w:tc>
        <w:tc>
          <w:tcPr>
            <w:tcW w:w="3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1D25CC18">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技术职称</w:t>
            </w:r>
          </w:p>
        </w:tc>
        <w:tc>
          <w:tcPr>
            <w:tcW w:w="37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4FFFF1A8">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职称专业</w:t>
            </w:r>
          </w:p>
        </w:tc>
        <w:tc>
          <w:tcPr>
            <w:tcW w:w="32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7D160D30">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工作年限</w:t>
            </w:r>
          </w:p>
        </w:tc>
        <w:tc>
          <w:tcPr>
            <w:tcW w:w="21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76E4441E">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学历</w:t>
            </w:r>
          </w:p>
        </w:tc>
        <w:tc>
          <w:tcPr>
            <w:tcW w:w="6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3D69780">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学历专业</w:t>
            </w:r>
          </w:p>
        </w:tc>
        <w:tc>
          <w:tcPr>
            <w:tcW w:w="4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0C2D7508">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执业资格名称</w:t>
            </w:r>
          </w:p>
        </w:tc>
        <w:tc>
          <w:tcPr>
            <w:tcW w:w="4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4EB1A07D">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执业资格等级</w:t>
            </w:r>
          </w:p>
        </w:tc>
        <w:tc>
          <w:tcPr>
            <w:tcW w:w="4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69BBB8E1">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执业资格编号</w:t>
            </w:r>
          </w:p>
        </w:tc>
        <w:tc>
          <w:tcPr>
            <w:tcW w:w="46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15D7F86">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执业资格有效期</w:t>
            </w:r>
          </w:p>
        </w:tc>
      </w:tr>
      <w:tr w14:paraId="3D730D81">
        <w:tblPrEx>
          <w:tblCellMar>
            <w:top w:w="0" w:type="dxa"/>
            <w:left w:w="0" w:type="dxa"/>
            <w:bottom w:w="0" w:type="dxa"/>
            <w:right w:w="0" w:type="dxa"/>
          </w:tblCellMar>
        </w:tblPrEx>
        <w:trPr>
          <w:trHeight w:val="1134" w:hRule="atLeast"/>
        </w:trPr>
        <w:tc>
          <w:tcPr>
            <w:tcW w:w="2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4280754C">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1</w:t>
            </w:r>
          </w:p>
        </w:tc>
        <w:tc>
          <w:tcPr>
            <w:tcW w:w="54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00EEEC8A">
            <w:pPr>
              <w:widowControl/>
              <w:jc w:val="center"/>
              <w:textAlignment w:val="bottom"/>
              <w:rPr>
                <w:rFonts w:asciiTheme="minorEastAsia" w:hAnsiTheme="minorEastAsia" w:eastAsiaTheme="minorEastAsia" w:cstheme="minorEastAsia"/>
                <w:color w:val="000000" w:themeColor="text1"/>
                <w:kern w:val="0"/>
              </w:rPr>
            </w:pPr>
          </w:p>
        </w:tc>
        <w:tc>
          <w:tcPr>
            <w:tcW w:w="2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6701A665">
            <w:pPr>
              <w:widowControl/>
              <w:jc w:val="center"/>
              <w:textAlignment w:val="bottom"/>
              <w:rPr>
                <w:rFonts w:asciiTheme="minorEastAsia" w:hAnsiTheme="minorEastAsia" w:eastAsiaTheme="minorEastAsia" w:cstheme="minorEastAsia"/>
                <w:color w:val="000000" w:themeColor="text1"/>
                <w:kern w:val="0"/>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9E8ABEF">
            <w:pPr>
              <w:widowControl/>
              <w:jc w:val="center"/>
              <w:textAlignment w:val="bottom"/>
              <w:rPr>
                <w:rFonts w:asciiTheme="minorEastAsia" w:hAnsiTheme="minorEastAsia" w:eastAsiaTheme="minorEastAsia" w:cstheme="minorEastAsia"/>
                <w:color w:val="000000" w:themeColor="text1"/>
                <w:kern w:val="0"/>
              </w:rPr>
            </w:pPr>
          </w:p>
        </w:tc>
        <w:tc>
          <w:tcPr>
            <w:tcW w:w="3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4470C1A2">
            <w:pPr>
              <w:widowControl/>
              <w:jc w:val="center"/>
              <w:textAlignment w:val="bottom"/>
              <w:rPr>
                <w:rFonts w:asciiTheme="minorEastAsia" w:hAnsiTheme="minorEastAsia" w:eastAsiaTheme="minorEastAsia" w:cstheme="minorEastAsia"/>
                <w:color w:val="000000" w:themeColor="text1"/>
                <w:kern w:val="0"/>
              </w:rPr>
            </w:pPr>
          </w:p>
        </w:tc>
        <w:tc>
          <w:tcPr>
            <w:tcW w:w="37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3143B147">
            <w:pPr>
              <w:widowControl/>
              <w:jc w:val="center"/>
              <w:textAlignment w:val="bottom"/>
              <w:rPr>
                <w:rFonts w:asciiTheme="minorEastAsia" w:hAnsiTheme="minorEastAsia" w:eastAsiaTheme="minorEastAsia" w:cstheme="minorEastAsia"/>
                <w:color w:val="000000" w:themeColor="text1"/>
                <w:kern w:val="0"/>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E92AAA1">
            <w:pPr>
              <w:widowControl/>
              <w:jc w:val="center"/>
              <w:textAlignment w:val="bottom"/>
              <w:rPr>
                <w:rFonts w:asciiTheme="minorEastAsia" w:hAnsiTheme="minorEastAsia" w:eastAsiaTheme="minorEastAsia" w:cstheme="minorEastAsia"/>
                <w:color w:val="000000" w:themeColor="text1"/>
                <w:kern w:val="0"/>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10C166F3">
            <w:pPr>
              <w:widowControl/>
              <w:jc w:val="center"/>
              <w:textAlignment w:val="bottom"/>
              <w:rPr>
                <w:rFonts w:asciiTheme="minorEastAsia" w:hAnsiTheme="minorEastAsia" w:eastAsiaTheme="minorEastAsia" w:cstheme="minorEastAsia"/>
                <w:color w:val="000000" w:themeColor="text1"/>
                <w:kern w:val="0"/>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4B2ED24C">
            <w:pPr>
              <w:widowControl/>
              <w:jc w:val="center"/>
              <w:textAlignment w:val="bottom"/>
              <w:rPr>
                <w:rFonts w:asciiTheme="minorEastAsia" w:hAnsiTheme="minorEastAsia" w:eastAsiaTheme="minorEastAsia" w:cstheme="minorEastAsia"/>
                <w:color w:val="000000" w:themeColor="text1"/>
                <w:kern w:val="0"/>
              </w:rPr>
            </w:pPr>
          </w:p>
        </w:tc>
        <w:tc>
          <w:tcPr>
            <w:tcW w:w="4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E6DC9B9">
            <w:pPr>
              <w:widowControl/>
              <w:jc w:val="center"/>
              <w:textAlignment w:val="bottom"/>
              <w:rPr>
                <w:rFonts w:asciiTheme="minorEastAsia" w:hAnsiTheme="minorEastAsia" w:eastAsiaTheme="minorEastAsia" w:cstheme="minorEastAsia"/>
                <w:color w:val="000000" w:themeColor="text1"/>
                <w:kern w:val="0"/>
              </w:rPr>
            </w:pPr>
          </w:p>
        </w:tc>
        <w:tc>
          <w:tcPr>
            <w:tcW w:w="4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6DB07AB1">
            <w:pPr>
              <w:widowControl/>
              <w:jc w:val="center"/>
              <w:textAlignment w:val="bottom"/>
              <w:rPr>
                <w:rFonts w:asciiTheme="minorEastAsia" w:hAnsiTheme="minorEastAsia" w:eastAsiaTheme="minorEastAsia" w:cstheme="minorEastAsia"/>
                <w:color w:val="000000" w:themeColor="text1"/>
                <w:kern w:val="0"/>
              </w:rPr>
            </w:pPr>
          </w:p>
        </w:tc>
        <w:tc>
          <w:tcPr>
            <w:tcW w:w="4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A0DA22B">
            <w:pPr>
              <w:widowControl/>
              <w:jc w:val="center"/>
              <w:textAlignment w:val="bottom"/>
              <w:rPr>
                <w:rFonts w:asciiTheme="minorEastAsia" w:hAnsiTheme="minorEastAsia" w:eastAsiaTheme="minorEastAsia" w:cstheme="minorEastAsia"/>
                <w:color w:val="000000" w:themeColor="text1"/>
                <w:kern w:val="0"/>
              </w:rPr>
            </w:pPr>
          </w:p>
        </w:tc>
        <w:tc>
          <w:tcPr>
            <w:tcW w:w="46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E1AFA7F">
            <w:pPr>
              <w:widowControl/>
              <w:jc w:val="center"/>
              <w:textAlignment w:val="bottom"/>
              <w:rPr>
                <w:rFonts w:asciiTheme="minorEastAsia" w:hAnsiTheme="minorEastAsia" w:eastAsiaTheme="minorEastAsia" w:cstheme="minorEastAsia"/>
                <w:color w:val="000000" w:themeColor="text1"/>
                <w:kern w:val="0"/>
              </w:rPr>
            </w:pPr>
          </w:p>
        </w:tc>
      </w:tr>
      <w:tr w14:paraId="26F3E76B">
        <w:tblPrEx>
          <w:tblCellMar>
            <w:top w:w="0" w:type="dxa"/>
            <w:left w:w="0" w:type="dxa"/>
            <w:bottom w:w="0" w:type="dxa"/>
            <w:right w:w="0" w:type="dxa"/>
          </w:tblCellMar>
        </w:tblPrEx>
        <w:trPr>
          <w:trHeight w:val="1134" w:hRule="atLeast"/>
        </w:trPr>
        <w:tc>
          <w:tcPr>
            <w:tcW w:w="2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1DAEE4D">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2</w:t>
            </w:r>
          </w:p>
        </w:tc>
        <w:tc>
          <w:tcPr>
            <w:tcW w:w="54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390CEF73">
            <w:pPr>
              <w:widowControl/>
              <w:jc w:val="center"/>
              <w:textAlignment w:val="bottom"/>
              <w:rPr>
                <w:rFonts w:asciiTheme="minorEastAsia" w:hAnsiTheme="minorEastAsia" w:eastAsiaTheme="minorEastAsia" w:cstheme="minorEastAsia"/>
                <w:color w:val="000000" w:themeColor="text1"/>
                <w:kern w:val="0"/>
              </w:rPr>
            </w:pPr>
          </w:p>
        </w:tc>
        <w:tc>
          <w:tcPr>
            <w:tcW w:w="2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45E82A9C">
            <w:pPr>
              <w:widowControl/>
              <w:jc w:val="center"/>
              <w:textAlignment w:val="bottom"/>
              <w:rPr>
                <w:rFonts w:asciiTheme="minorEastAsia" w:hAnsiTheme="minorEastAsia" w:eastAsiaTheme="minorEastAsia" w:cstheme="minorEastAsia"/>
                <w:color w:val="000000" w:themeColor="text1"/>
                <w:kern w:val="0"/>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30F885DF">
            <w:pPr>
              <w:widowControl/>
              <w:jc w:val="center"/>
              <w:textAlignment w:val="bottom"/>
              <w:rPr>
                <w:rFonts w:asciiTheme="minorEastAsia" w:hAnsiTheme="minorEastAsia" w:eastAsiaTheme="minorEastAsia" w:cstheme="minorEastAsia"/>
                <w:color w:val="000000" w:themeColor="text1"/>
                <w:kern w:val="0"/>
              </w:rPr>
            </w:pPr>
          </w:p>
        </w:tc>
        <w:tc>
          <w:tcPr>
            <w:tcW w:w="3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5F46327">
            <w:pPr>
              <w:widowControl/>
              <w:jc w:val="center"/>
              <w:textAlignment w:val="bottom"/>
              <w:rPr>
                <w:rFonts w:asciiTheme="minorEastAsia" w:hAnsiTheme="minorEastAsia" w:eastAsiaTheme="minorEastAsia" w:cstheme="minorEastAsia"/>
                <w:color w:val="000000" w:themeColor="text1"/>
                <w:kern w:val="0"/>
              </w:rPr>
            </w:pPr>
          </w:p>
        </w:tc>
        <w:tc>
          <w:tcPr>
            <w:tcW w:w="37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4EBF280A">
            <w:pPr>
              <w:widowControl/>
              <w:jc w:val="center"/>
              <w:textAlignment w:val="bottom"/>
              <w:rPr>
                <w:rFonts w:asciiTheme="minorEastAsia" w:hAnsiTheme="minorEastAsia" w:eastAsiaTheme="minorEastAsia" w:cstheme="minorEastAsia"/>
                <w:color w:val="000000" w:themeColor="text1"/>
                <w:kern w:val="0"/>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69C5E05">
            <w:pPr>
              <w:widowControl/>
              <w:jc w:val="center"/>
              <w:textAlignment w:val="bottom"/>
              <w:rPr>
                <w:rFonts w:asciiTheme="minorEastAsia" w:hAnsiTheme="minorEastAsia" w:eastAsiaTheme="minorEastAsia" w:cstheme="minorEastAsia"/>
                <w:color w:val="000000" w:themeColor="text1"/>
                <w:kern w:val="0"/>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45004019">
            <w:pPr>
              <w:widowControl/>
              <w:jc w:val="center"/>
              <w:textAlignment w:val="bottom"/>
              <w:rPr>
                <w:rFonts w:asciiTheme="minorEastAsia" w:hAnsiTheme="minorEastAsia" w:eastAsiaTheme="minorEastAsia" w:cstheme="minorEastAsia"/>
                <w:color w:val="000000" w:themeColor="text1"/>
                <w:kern w:val="0"/>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7613BE32">
            <w:pPr>
              <w:widowControl/>
              <w:jc w:val="center"/>
              <w:textAlignment w:val="bottom"/>
              <w:rPr>
                <w:rFonts w:asciiTheme="minorEastAsia" w:hAnsiTheme="minorEastAsia" w:eastAsiaTheme="minorEastAsia" w:cstheme="minorEastAsia"/>
                <w:color w:val="000000" w:themeColor="text1"/>
                <w:kern w:val="0"/>
              </w:rPr>
            </w:pPr>
          </w:p>
        </w:tc>
        <w:tc>
          <w:tcPr>
            <w:tcW w:w="4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75C3EC64">
            <w:pPr>
              <w:widowControl/>
              <w:jc w:val="center"/>
              <w:textAlignment w:val="bottom"/>
              <w:rPr>
                <w:rFonts w:asciiTheme="minorEastAsia" w:hAnsiTheme="minorEastAsia" w:eastAsiaTheme="minorEastAsia" w:cstheme="minorEastAsia"/>
                <w:color w:val="000000" w:themeColor="text1"/>
                <w:kern w:val="0"/>
              </w:rPr>
            </w:pPr>
          </w:p>
        </w:tc>
        <w:tc>
          <w:tcPr>
            <w:tcW w:w="4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1FF14863">
            <w:pPr>
              <w:widowControl/>
              <w:jc w:val="center"/>
              <w:textAlignment w:val="bottom"/>
              <w:rPr>
                <w:rFonts w:asciiTheme="minorEastAsia" w:hAnsiTheme="minorEastAsia" w:eastAsiaTheme="minorEastAsia" w:cstheme="minorEastAsia"/>
                <w:color w:val="000000" w:themeColor="text1"/>
                <w:kern w:val="0"/>
              </w:rPr>
            </w:pPr>
          </w:p>
        </w:tc>
        <w:tc>
          <w:tcPr>
            <w:tcW w:w="4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0ECBED01">
            <w:pPr>
              <w:widowControl/>
              <w:jc w:val="center"/>
              <w:textAlignment w:val="bottom"/>
              <w:rPr>
                <w:rFonts w:asciiTheme="minorEastAsia" w:hAnsiTheme="minorEastAsia" w:eastAsiaTheme="minorEastAsia" w:cstheme="minorEastAsia"/>
                <w:color w:val="000000" w:themeColor="text1"/>
                <w:kern w:val="0"/>
              </w:rPr>
            </w:pPr>
          </w:p>
        </w:tc>
        <w:tc>
          <w:tcPr>
            <w:tcW w:w="46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06CAA14E">
            <w:pPr>
              <w:widowControl/>
              <w:jc w:val="center"/>
              <w:textAlignment w:val="bottom"/>
              <w:rPr>
                <w:rFonts w:asciiTheme="minorEastAsia" w:hAnsiTheme="minorEastAsia" w:eastAsiaTheme="minorEastAsia" w:cstheme="minorEastAsia"/>
                <w:color w:val="000000" w:themeColor="text1"/>
                <w:kern w:val="0"/>
              </w:rPr>
            </w:pPr>
          </w:p>
        </w:tc>
      </w:tr>
      <w:tr w14:paraId="6162A725">
        <w:tblPrEx>
          <w:tblCellMar>
            <w:top w:w="0" w:type="dxa"/>
            <w:left w:w="0" w:type="dxa"/>
            <w:bottom w:w="0" w:type="dxa"/>
            <w:right w:w="0" w:type="dxa"/>
          </w:tblCellMar>
        </w:tblPrEx>
        <w:trPr>
          <w:trHeight w:val="1134" w:hRule="atLeast"/>
        </w:trPr>
        <w:tc>
          <w:tcPr>
            <w:tcW w:w="2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6295EDB0">
            <w:pPr>
              <w:widowControl/>
              <w:jc w:val="center"/>
              <w:textAlignment w:val="bottom"/>
              <w:rPr>
                <w:rFonts w:asciiTheme="minorEastAsia" w:hAnsiTheme="minorEastAsia" w:eastAsiaTheme="minorEastAsia" w:cstheme="minorEastAsia"/>
                <w:color w:val="000000" w:themeColor="text1"/>
                <w:kern w:val="0"/>
              </w:rPr>
            </w:pPr>
            <w:r>
              <w:rPr>
                <w:rFonts w:hint="eastAsia" w:asciiTheme="minorEastAsia" w:hAnsiTheme="minorEastAsia" w:eastAsiaTheme="minorEastAsia" w:cstheme="minorEastAsia"/>
                <w:color w:val="000000" w:themeColor="text1"/>
                <w:kern w:val="0"/>
              </w:rPr>
              <w:t>...</w:t>
            </w:r>
          </w:p>
        </w:tc>
        <w:tc>
          <w:tcPr>
            <w:tcW w:w="54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CC8EDD8">
            <w:pPr>
              <w:widowControl/>
              <w:jc w:val="center"/>
              <w:textAlignment w:val="bottom"/>
              <w:rPr>
                <w:rFonts w:asciiTheme="minorEastAsia" w:hAnsiTheme="minorEastAsia" w:eastAsiaTheme="minorEastAsia" w:cstheme="minorEastAsia"/>
                <w:color w:val="000000" w:themeColor="text1"/>
                <w:kern w:val="0"/>
              </w:rPr>
            </w:pPr>
          </w:p>
        </w:tc>
        <w:tc>
          <w:tcPr>
            <w:tcW w:w="2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0EDE6AE0">
            <w:pPr>
              <w:widowControl/>
              <w:jc w:val="center"/>
              <w:textAlignment w:val="bottom"/>
              <w:rPr>
                <w:rFonts w:asciiTheme="minorEastAsia" w:hAnsiTheme="minorEastAsia" w:eastAsiaTheme="minorEastAsia" w:cstheme="minorEastAsia"/>
                <w:color w:val="000000" w:themeColor="text1"/>
                <w:kern w:val="0"/>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56F23AB">
            <w:pPr>
              <w:widowControl/>
              <w:jc w:val="center"/>
              <w:textAlignment w:val="bottom"/>
              <w:rPr>
                <w:rFonts w:asciiTheme="minorEastAsia" w:hAnsiTheme="minorEastAsia" w:eastAsiaTheme="minorEastAsia" w:cstheme="minorEastAsia"/>
                <w:color w:val="000000" w:themeColor="text1"/>
                <w:kern w:val="0"/>
              </w:rPr>
            </w:pPr>
          </w:p>
        </w:tc>
        <w:tc>
          <w:tcPr>
            <w:tcW w:w="3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104BE4EB">
            <w:pPr>
              <w:widowControl/>
              <w:jc w:val="center"/>
              <w:textAlignment w:val="bottom"/>
              <w:rPr>
                <w:rFonts w:asciiTheme="minorEastAsia" w:hAnsiTheme="minorEastAsia" w:eastAsiaTheme="minorEastAsia" w:cstheme="minorEastAsia"/>
                <w:color w:val="000000" w:themeColor="text1"/>
                <w:kern w:val="0"/>
              </w:rPr>
            </w:pPr>
          </w:p>
        </w:tc>
        <w:tc>
          <w:tcPr>
            <w:tcW w:w="37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3EB6589D">
            <w:pPr>
              <w:widowControl/>
              <w:jc w:val="center"/>
              <w:textAlignment w:val="bottom"/>
              <w:rPr>
                <w:rFonts w:asciiTheme="minorEastAsia" w:hAnsiTheme="minorEastAsia" w:eastAsiaTheme="minorEastAsia" w:cstheme="minorEastAsia"/>
                <w:color w:val="000000" w:themeColor="text1"/>
                <w:kern w:val="0"/>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FA66927">
            <w:pPr>
              <w:widowControl/>
              <w:jc w:val="center"/>
              <w:textAlignment w:val="bottom"/>
              <w:rPr>
                <w:rFonts w:asciiTheme="minorEastAsia" w:hAnsiTheme="minorEastAsia" w:eastAsiaTheme="minorEastAsia" w:cstheme="minorEastAsia"/>
                <w:color w:val="000000" w:themeColor="text1"/>
                <w:kern w:val="0"/>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6739BE1">
            <w:pPr>
              <w:widowControl/>
              <w:jc w:val="center"/>
              <w:textAlignment w:val="bottom"/>
              <w:rPr>
                <w:rFonts w:asciiTheme="minorEastAsia" w:hAnsiTheme="minorEastAsia" w:eastAsiaTheme="minorEastAsia" w:cstheme="minorEastAsia"/>
                <w:color w:val="000000" w:themeColor="text1"/>
                <w:kern w:val="0"/>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717B8C56">
            <w:pPr>
              <w:widowControl/>
              <w:jc w:val="center"/>
              <w:textAlignment w:val="bottom"/>
              <w:rPr>
                <w:rFonts w:asciiTheme="minorEastAsia" w:hAnsiTheme="minorEastAsia" w:eastAsiaTheme="minorEastAsia" w:cstheme="minorEastAsia"/>
                <w:color w:val="000000" w:themeColor="text1"/>
                <w:kern w:val="0"/>
              </w:rPr>
            </w:pPr>
          </w:p>
        </w:tc>
        <w:tc>
          <w:tcPr>
            <w:tcW w:w="4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1D62F7F">
            <w:pPr>
              <w:widowControl/>
              <w:jc w:val="center"/>
              <w:textAlignment w:val="bottom"/>
              <w:rPr>
                <w:rFonts w:asciiTheme="minorEastAsia" w:hAnsiTheme="minorEastAsia" w:eastAsiaTheme="minorEastAsia" w:cstheme="minorEastAsia"/>
                <w:color w:val="000000" w:themeColor="text1"/>
                <w:kern w:val="0"/>
              </w:rPr>
            </w:pPr>
          </w:p>
        </w:tc>
        <w:tc>
          <w:tcPr>
            <w:tcW w:w="4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C3E4882">
            <w:pPr>
              <w:widowControl/>
              <w:jc w:val="center"/>
              <w:textAlignment w:val="bottom"/>
              <w:rPr>
                <w:rFonts w:asciiTheme="minorEastAsia" w:hAnsiTheme="minorEastAsia" w:eastAsiaTheme="minorEastAsia" w:cstheme="minorEastAsia"/>
                <w:color w:val="000000" w:themeColor="text1"/>
                <w:kern w:val="0"/>
              </w:rPr>
            </w:pPr>
          </w:p>
        </w:tc>
        <w:tc>
          <w:tcPr>
            <w:tcW w:w="46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72C2B1D0">
            <w:pPr>
              <w:widowControl/>
              <w:jc w:val="center"/>
              <w:textAlignment w:val="bottom"/>
              <w:rPr>
                <w:rFonts w:asciiTheme="minorEastAsia" w:hAnsiTheme="minorEastAsia" w:eastAsiaTheme="minorEastAsia" w:cstheme="minorEastAsia"/>
                <w:color w:val="000000" w:themeColor="text1"/>
                <w:kern w:val="0"/>
              </w:rPr>
            </w:pPr>
          </w:p>
        </w:tc>
        <w:tc>
          <w:tcPr>
            <w:tcW w:w="46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274E04F">
            <w:pPr>
              <w:widowControl/>
              <w:jc w:val="center"/>
              <w:textAlignment w:val="bottom"/>
              <w:rPr>
                <w:rFonts w:asciiTheme="minorEastAsia" w:hAnsiTheme="minorEastAsia" w:eastAsiaTheme="minorEastAsia" w:cstheme="minorEastAsia"/>
                <w:color w:val="000000" w:themeColor="text1"/>
                <w:kern w:val="0"/>
              </w:rPr>
            </w:pPr>
          </w:p>
        </w:tc>
      </w:tr>
    </w:tbl>
    <w:p w14:paraId="39C05C37">
      <w:pPr>
        <w:spacing w:line="300" w:lineRule="exact"/>
        <w:ind w:firstLine="422" w:firstLineChars="200"/>
        <w:rPr>
          <w:rFonts w:ascii="宋体" w:hAnsi="宋体"/>
          <w:b/>
          <w:color w:val="000000" w:themeColor="text1"/>
        </w:rPr>
      </w:pPr>
      <w:r>
        <w:rPr>
          <w:rFonts w:hint="eastAsia" w:ascii="宋体" w:hAnsi="宋体"/>
          <w:b/>
          <w:color w:val="000000" w:themeColor="text1"/>
        </w:rPr>
        <w:t>注：此表可扩展。</w:t>
      </w:r>
    </w:p>
    <w:p w14:paraId="614A1364">
      <w:pPr>
        <w:spacing w:line="300" w:lineRule="exact"/>
        <w:ind w:firstLine="422" w:firstLineChars="200"/>
        <w:rPr>
          <w:rFonts w:ascii="宋体" w:hAnsi="宋体"/>
          <w:b/>
          <w:color w:val="000000" w:themeColor="text1"/>
        </w:rPr>
      </w:pPr>
      <w:r>
        <w:rPr>
          <w:rFonts w:ascii="宋体" w:hAnsi="宋体"/>
          <w:b/>
          <w:color w:val="000000" w:themeColor="text1"/>
        </w:rPr>
        <w:t>2.</w:t>
      </w:r>
      <w:r>
        <w:rPr>
          <w:rFonts w:hint="eastAsia" w:ascii="宋体" w:hAnsi="宋体"/>
          <w:b/>
          <w:color w:val="000000" w:themeColor="text1"/>
        </w:rPr>
        <w:t>人员一旦确定，中标后原则上不再变更，如需变更需征得招标人同意。</w:t>
      </w:r>
    </w:p>
    <w:p w14:paraId="2CCB97A1">
      <w:pPr>
        <w:ind w:firstLine="482"/>
        <w:jc w:val="left"/>
        <w:rPr>
          <w:rFonts w:ascii="宋体" w:hAnsi="宋体"/>
          <w:b/>
          <w:color w:val="000000" w:themeColor="text1"/>
        </w:rPr>
      </w:pPr>
    </w:p>
    <w:p w14:paraId="7304A3D4">
      <w:pPr>
        <w:tabs>
          <w:tab w:val="left" w:pos="3375"/>
        </w:tabs>
        <w:snapToGrid w:val="0"/>
        <w:spacing w:line="360" w:lineRule="auto"/>
        <w:ind w:firstLine="422" w:firstLineChars="200"/>
        <w:outlineLvl w:val="2"/>
        <w:rPr>
          <w:rFonts w:ascii="宋体" w:hAnsi="宋体" w:cs="宋体"/>
          <w:b/>
        </w:rPr>
      </w:pPr>
      <w:r>
        <w:rPr>
          <w:rFonts w:hint="eastAsia" w:ascii="宋体" w:hAnsi="宋体"/>
          <w:b/>
          <w:color w:val="000000" w:themeColor="text1"/>
        </w:rPr>
        <w:t>3、提供项目经理资格条件相应的佐证材料</w:t>
      </w:r>
      <w:r>
        <w:rPr>
          <w:rFonts w:hint="eastAsia" w:ascii="宋体" w:hAnsi="宋体" w:cs="宋体"/>
          <w:b/>
        </w:rPr>
        <w:t>（以下材料均须提供扫描件（或复印件）并加盖公章）：</w:t>
      </w:r>
    </w:p>
    <w:p w14:paraId="7A56F11E">
      <w:pPr>
        <w:tabs>
          <w:tab w:val="left" w:pos="3375"/>
        </w:tabs>
        <w:snapToGrid w:val="0"/>
        <w:spacing w:line="360" w:lineRule="auto"/>
        <w:ind w:firstLine="422" w:firstLineChars="200"/>
        <w:outlineLvl w:val="2"/>
        <w:rPr>
          <w:rFonts w:ascii="宋体" w:hAnsi="宋体"/>
          <w:b/>
          <w:color w:val="000000" w:themeColor="text1"/>
        </w:rPr>
      </w:pPr>
      <w:r>
        <w:rPr>
          <w:rFonts w:hint="eastAsia" w:ascii="宋体" w:hAnsi="宋体"/>
          <w:b/>
          <w:color w:val="000000" w:themeColor="text1"/>
        </w:rPr>
        <w:t>①有效的二级或以上注册建造师资格；</w:t>
      </w:r>
    </w:p>
    <w:p w14:paraId="3ABC2EDB">
      <w:pPr>
        <w:tabs>
          <w:tab w:val="left" w:pos="3375"/>
        </w:tabs>
        <w:snapToGrid w:val="0"/>
        <w:spacing w:line="360" w:lineRule="auto"/>
        <w:ind w:firstLine="422" w:firstLineChars="200"/>
        <w:outlineLvl w:val="2"/>
        <w:rPr>
          <w:rFonts w:ascii="宋体" w:hAnsi="宋体"/>
          <w:b/>
          <w:color w:val="000000" w:themeColor="text1"/>
        </w:rPr>
      </w:pPr>
      <w:r>
        <w:rPr>
          <w:rFonts w:hint="eastAsia" w:ascii="宋体" w:hAnsi="宋体"/>
          <w:b/>
          <w:color w:val="000000" w:themeColor="text1"/>
        </w:rPr>
        <w:t>②有效的建设行政主管部门核发的《建筑施工企业项目负责人安全生产考核合格证书》（B证）。</w:t>
      </w:r>
    </w:p>
    <w:p w14:paraId="2906BBD8">
      <w:pPr>
        <w:tabs>
          <w:tab w:val="left" w:pos="3375"/>
        </w:tabs>
        <w:snapToGrid w:val="0"/>
        <w:spacing w:line="360" w:lineRule="auto"/>
        <w:ind w:firstLine="422" w:firstLineChars="200"/>
        <w:outlineLvl w:val="2"/>
        <w:rPr>
          <w:rFonts w:ascii="宋体" w:hAnsi="宋体"/>
          <w:b/>
          <w:color w:val="000000" w:themeColor="text1"/>
        </w:rPr>
      </w:pPr>
      <w:r>
        <w:rPr>
          <w:rFonts w:hint="eastAsia" w:ascii="宋体" w:hAnsi="宋体"/>
          <w:b/>
          <w:color w:val="000000" w:themeColor="text1"/>
        </w:rPr>
        <w:t>③项目经理社保缴费证明。</w:t>
      </w:r>
    </w:p>
    <w:p w14:paraId="2A1DFB30">
      <w:pPr>
        <w:widowControl/>
        <w:ind w:firstLine="482"/>
        <w:jc w:val="center"/>
        <w:rPr>
          <w:b/>
          <w:bCs/>
          <w:color w:val="000000" w:themeColor="text1"/>
          <w:sz w:val="24"/>
          <w:szCs w:val="24"/>
          <w:u w:val="single"/>
        </w:rPr>
      </w:pPr>
    </w:p>
    <w:p w14:paraId="605E7A2C">
      <w:pPr>
        <w:rPr>
          <w:b/>
          <w:bCs/>
          <w:color w:val="000000" w:themeColor="text1"/>
          <w:sz w:val="24"/>
          <w:szCs w:val="24"/>
          <w:u w:val="single"/>
        </w:rPr>
      </w:pPr>
      <w:r>
        <w:rPr>
          <w:b/>
          <w:bCs/>
          <w:color w:val="000000" w:themeColor="text1"/>
          <w:sz w:val="24"/>
          <w:szCs w:val="24"/>
          <w:u w:val="single"/>
        </w:rPr>
        <w:br w:type="page"/>
      </w:r>
    </w:p>
    <w:p w14:paraId="1715FB09">
      <w:pPr>
        <w:pStyle w:val="4"/>
        <w:snapToGrid w:val="0"/>
        <w:spacing w:before="0" w:after="0" w:line="360" w:lineRule="auto"/>
        <w:jc w:val="center"/>
        <w:rPr>
          <w:rFonts w:ascii="宋体" w:hAnsi="宋体"/>
          <w:bCs w:val="0"/>
          <w:sz w:val="28"/>
          <w:szCs w:val="28"/>
        </w:rPr>
      </w:pPr>
      <w:r>
        <w:rPr>
          <w:rFonts w:hint="eastAsia" w:ascii="宋体" w:hAnsi="宋体"/>
          <w:bCs w:val="0"/>
          <w:sz w:val="28"/>
          <w:szCs w:val="28"/>
        </w:rPr>
        <w:t>表3 投标人业绩表</w:t>
      </w:r>
    </w:p>
    <w:tbl>
      <w:tblPr>
        <w:tblStyle w:val="48"/>
        <w:tblW w:w="47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1172"/>
        <w:gridCol w:w="1184"/>
        <w:gridCol w:w="1506"/>
        <w:gridCol w:w="869"/>
        <w:gridCol w:w="1245"/>
        <w:gridCol w:w="1932"/>
      </w:tblGrid>
      <w:tr w14:paraId="6E0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4361ABFC">
            <w:pPr>
              <w:spacing w:line="400" w:lineRule="exact"/>
              <w:jc w:val="center"/>
              <w:rPr>
                <w:rFonts w:ascii="宋体" w:hAnsi="宋体"/>
              </w:rPr>
            </w:pPr>
            <w:r>
              <w:rPr>
                <w:rFonts w:hint="eastAsia" w:ascii="宋体" w:hAnsi="宋体"/>
              </w:rPr>
              <w:t>序号</w:t>
            </w:r>
          </w:p>
        </w:tc>
        <w:tc>
          <w:tcPr>
            <w:tcW w:w="684" w:type="pct"/>
            <w:vAlign w:val="center"/>
          </w:tcPr>
          <w:p w14:paraId="6956E2CA">
            <w:pPr>
              <w:spacing w:line="400" w:lineRule="exact"/>
              <w:jc w:val="center"/>
              <w:rPr>
                <w:rFonts w:ascii="宋体" w:hAnsi="宋体"/>
              </w:rPr>
            </w:pPr>
            <w:r>
              <w:rPr>
                <w:rFonts w:hint="eastAsia" w:ascii="宋体" w:hAnsi="宋体"/>
              </w:rPr>
              <w:t>项目名称</w:t>
            </w:r>
          </w:p>
        </w:tc>
        <w:tc>
          <w:tcPr>
            <w:tcW w:w="691" w:type="pct"/>
            <w:vAlign w:val="center"/>
          </w:tcPr>
          <w:p w14:paraId="6F4EFAFE">
            <w:pPr>
              <w:spacing w:line="400" w:lineRule="exact"/>
              <w:jc w:val="center"/>
              <w:rPr>
                <w:rFonts w:ascii="宋体" w:hAnsi="宋体"/>
              </w:rPr>
            </w:pPr>
            <w:r>
              <w:rPr>
                <w:rFonts w:hint="eastAsia" w:ascii="宋体" w:hAnsi="宋体"/>
              </w:rPr>
              <w:t>发包单位</w:t>
            </w:r>
          </w:p>
        </w:tc>
        <w:tc>
          <w:tcPr>
            <w:tcW w:w="879" w:type="pct"/>
            <w:vAlign w:val="center"/>
          </w:tcPr>
          <w:p w14:paraId="27C36CA4">
            <w:pPr>
              <w:spacing w:line="400" w:lineRule="exact"/>
              <w:jc w:val="center"/>
              <w:rPr>
                <w:rFonts w:ascii="宋体" w:hAnsi="宋体"/>
              </w:rPr>
            </w:pPr>
            <w:r>
              <w:rPr>
                <w:rFonts w:hint="eastAsia" w:ascii="宋体" w:hAnsi="宋体"/>
              </w:rPr>
              <w:t>开、竣工时间</w:t>
            </w:r>
          </w:p>
        </w:tc>
        <w:tc>
          <w:tcPr>
            <w:tcW w:w="507" w:type="pct"/>
            <w:vAlign w:val="center"/>
          </w:tcPr>
          <w:p w14:paraId="62DA54E9">
            <w:pPr>
              <w:spacing w:line="400" w:lineRule="exact"/>
              <w:jc w:val="center"/>
              <w:rPr>
                <w:rFonts w:ascii="宋体" w:hAnsi="宋体"/>
              </w:rPr>
            </w:pPr>
            <w:r>
              <w:rPr>
                <w:rFonts w:hint="eastAsia" w:ascii="宋体" w:hAnsi="宋体"/>
              </w:rPr>
              <w:t>合同价</w:t>
            </w:r>
          </w:p>
        </w:tc>
        <w:tc>
          <w:tcPr>
            <w:tcW w:w="727" w:type="pct"/>
            <w:vAlign w:val="center"/>
          </w:tcPr>
          <w:p w14:paraId="4A8191E6">
            <w:pPr>
              <w:spacing w:line="400" w:lineRule="exact"/>
              <w:jc w:val="center"/>
              <w:rPr>
                <w:rFonts w:ascii="宋体" w:hAnsi="宋体"/>
              </w:rPr>
            </w:pPr>
            <w:r>
              <w:rPr>
                <w:rFonts w:hint="eastAsia" w:ascii="宋体" w:hAnsi="宋体"/>
              </w:rPr>
              <w:t>项目经理</w:t>
            </w:r>
          </w:p>
        </w:tc>
        <w:tc>
          <w:tcPr>
            <w:tcW w:w="1128" w:type="pct"/>
            <w:vAlign w:val="center"/>
          </w:tcPr>
          <w:p w14:paraId="7EA55606">
            <w:pPr>
              <w:spacing w:line="400" w:lineRule="exact"/>
              <w:jc w:val="center"/>
              <w:rPr>
                <w:rFonts w:ascii="宋体" w:hAnsi="宋体"/>
              </w:rPr>
            </w:pPr>
            <w:r>
              <w:rPr>
                <w:rFonts w:hint="eastAsia" w:ascii="宋体" w:hAnsi="宋体"/>
              </w:rPr>
              <w:t>项目简介</w:t>
            </w:r>
          </w:p>
        </w:tc>
      </w:tr>
      <w:tr w14:paraId="313A8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79DAAC62">
            <w:pPr>
              <w:spacing w:line="400" w:lineRule="exact"/>
              <w:jc w:val="center"/>
              <w:rPr>
                <w:rFonts w:ascii="宋体" w:hAnsi="宋体"/>
              </w:rPr>
            </w:pPr>
          </w:p>
        </w:tc>
        <w:tc>
          <w:tcPr>
            <w:tcW w:w="684" w:type="pct"/>
            <w:vAlign w:val="center"/>
          </w:tcPr>
          <w:p w14:paraId="3C560428">
            <w:pPr>
              <w:spacing w:line="400" w:lineRule="exact"/>
              <w:rPr>
                <w:rFonts w:ascii="宋体" w:hAnsi="宋体"/>
              </w:rPr>
            </w:pPr>
          </w:p>
        </w:tc>
        <w:tc>
          <w:tcPr>
            <w:tcW w:w="691" w:type="pct"/>
            <w:vAlign w:val="center"/>
          </w:tcPr>
          <w:p w14:paraId="316F5C0C">
            <w:pPr>
              <w:spacing w:line="400" w:lineRule="exact"/>
              <w:rPr>
                <w:rFonts w:ascii="宋体" w:hAnsi="宋体"/>
              </w:rPr>
            </w:pPr>
          </w:p>
        </w:tc>
        <w:tc>
          <w:tcPr>
            <w:tcW w:w="879" w:type="pct"/>
            <w:vAlign w:val="center"/>
          </w:tcPr>
          <w:p w14:paraId="28FB30A0">
            <w:pPr>
              <w:spacing w:line="400" w:lineRule="exact"/>
              <w:rPr>
                <w:rFonts w:ascii="宋体" w:hAnsi="宋体"/>
              </w:rPr>
            </w:pPr>
          </w:p>
        </w:tc>
        <w:tc>
          <w:tcPr>
            <w:tcW w:w="507" w:type="pct"/>
            <w:vAlign w:val="center"/>
          </w:tcPr>
          <w:p w14:paraId="60E78C2B">
            <w:pPr>
              <w:spacing w:line="400" w:lineRule="exact"/>
              <w:rPr>
                <w:rFonts w:ascii="宋体" w:hAnsi="宋体"/>
              </w:rPr>
            </w:pPr>
          </w:p>
        </w:tc>
        <w:tc>
          <w:tcPr>
            <w:tcW w:w="727" w:type="pct"/>
            <w:vAlign w:val="center"/>
          </w:tcPr>
          <w:p w14:paraId="3D486E40">
            <w:pPr>
              <w:spacing w:line="400" w:lineRule="exact"/>
              <w:rPr>
                <w:rFonts w:ascii="宋体" w:hAnsi="宋体"/>
              </w:rPr>
            </w:pPr>
          </w:p>
        </w:tc>
        <w:tc>
          <w:tcPr>
            <w:tcW w:w="1128" w:type="pct"/>
            <w:vAlign w:val="center"/>
          </w:tcPr>
          <w:p w14:paraId="582E74C3">
            <w:pPr>
              <w:spacing w:line="400" w:lineRule="exact"/>
              <w:rPr>
                <w:rFonts w:ascii="宋体" w:hAnsi="宋体"/>
              </w:rPr>
            </w:pPr>
          </w:p>
        </w:tc>
      </w:tr>
      <w:tr w14:paraId="59D6C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2E5DCE07">
            <w:pPr>
              <w:spacing w:line="400" w:lineRule="exact"/>
              <w:jc w:val="center"/>
              <w:rPr>
                <w:rFonts w:ascii="宋体" w:hAnsi="宋体"/>
              </w:rPr>
            </w:pPr>
          </w:p>
        </w:tc>
        <w:tc>
          <w:tcPr>
            <w:tcW w:w="684" w:type="pct"/>
            <w:vAlign w:val="center"/>
          </w:tcPr>
          <w:p w14:paraId="15FE0A1D">
            <w:pPr>
              <w:spacing w:line="400" w:lineRule="exact"/>
              <w:rPr>
                <w:rFonts w:ascii="宋体" w:hAnsi="宋体"/>
              </w:rPr>
            </w:pPr>
          </w:p>
        </w:tc>
        <w:tc>
          <w:tcPr>
            <w:tcW w:w="691" w:type="pct"/>
            <w:vAlign w:val="center"/>
          </w:tcPr>
          <w:p w14:paraId="1F700789">
            <w:pPr>
              <w:spacing w:line="400" w:lineRule="exact"/>
              <w:rPr>
                <w:rFonts w:ascii="宋体" w:hAnsi="宋体"/>
              </w:rPr>
            </w:pPr>
          </w:p>
        </w:tc>
        <w:tc>
          <w:tcPr>
            <w:tcW w:w="879" w:type="pct"/>
            <w:vAlign w:val="center"/>
          </w:tcPr>
          <w:p w14:paraId="0FA1B069">
            <w:pPr>
              <w:spacing w:line="400" w:lineRule="exact"/>
              <w:rPr>
                <w:rFonts w:ascii="宋体" w:hAnsi="宋体"/>
              </w:rPr>
            </w:pPr>
          </w:p>
        </w:tc>
        <w:tc>
          <w:tcPr>
            <w:tcW w:w="507" w:type="pct"/>
            <w:vAlign w:val="center"/>
          </w:tcPr>
          <w:p w14:paraId="6A2B400A">
            <w:pPr>
              <w:spacing w:line="400" w:lineRule="exact"/>
              <w:rPr>
                <w:rFonts w:ascii="宋体" w:hAnsi="宋体"/>
              </w:rPr>
            </w:pPr>
          </w:p>
        </w:tc>
        <w:tc>
          <w:tcPr>
            <w:tcW w:w="727" w:type="pct"/>
            <w:vAlign w:val="center"/>
          </w:tcPr>
          <w:p w14:paraId="2C8CFAE7">
            <w:pPr>
              <w:spacing w:line="400" w:lineRule="exact"/>
              <w:rPr>
                <w:rFonts w:ascii="宋体" w:hAnsi="宋体"/>
              </w:rPr>
            </w:pPr>
          </w:p>
        </w:tc>
        <w:tc>
          <w:tcPr>
            <w:tcW w:w="1128" w:type="pct"/>
            <w:vAlign w:val="center"/>
          </w:tcPr>
          <w:p w14:paraId="0EAB1BE9">
            <w:pPr>
              <w:spacing w:line="400" w:lineRule="exact"/>
              <w:rPr>
                <w:rFonts w:ascii="宋体" w:hAnsi="宋体"/>
              </w:rPr>
            </w:pPr>
          </w:p>
        </w:tc>
      </w:tr>
      <w:tr w14:paraId="20AFB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0F57890F">
            <w:pPr>
              <w:spacing w:line="400" w:lineRule="exact"/>
              <w:jc w:val="center"/>
              <w:rPr>
                <w:rFonts w:ascii="宋体" w:hAnsi="宋体"/>
              </w:rPr>
            </w:pPr>
          </w:p>
        </w:tc>
        <w:tc>
          <w:tcPr>
            <w:tcW w:w="684" w:type="pct"/>
            <w:vAlign w:val="center"/>
          </w:tcPr>
          <w:p w14:paraId="74FEA86B">
            <w:pPr>
              <w:spacing w:line="400" w:lineRule="exact"/>
              <w:rPr>
                <w:rFonts w:ascii="宋体" w:hAnsi="宋体"/>
              </w:rPr>
            </w:pPr>
          </w:p>
        </w:tc>
        <w:tc>
          <w:tcPr>
            <w:tcW w:w="691" w:type="pct"/>
            <w:vAlign w:val="center"/>
          </w:tcPr>
          <w:p w14:paraId="4384266E">
            <w:pPr>
              <w:spacing w:line="400" w:lineRule="exact"/>
              <w:rPr>
                <w:rFonts w:ascii="宋体" w:hAnsi="宋体"/>
              </w:rPr>
            </w:pPr>
          </w:p>
        </w:tc>
        <w:tc>
          <w:tcPr>
            <w:tcW w:w="879" w:type="pct"/>
            <w:vAlign w:val="center"/>
          </w:tcPr>
          <w:p w14:paraId="168A12CD">
            <w:pPr>
              <w:spacing w:line="400" w:lineRule="exact"/>
              <w:rPr>
                <w:rFonts w:ascii="宋体" w:hAnsi="宋体"/>
              </w:rPr>
            </w:pPr>
          </w:p>
        </w:tc>
        <w:tc>
          <w:tcPr>
            <w:tcW w:w="507" w:type="pct"/>
            <w:vAlign w:val="center"/>
          </w:tcPr>
          <w:p w14:paraId="4D9642E7">
            <w:pPr>
              <w:spacing w:line="400" w:lineRule="exact"/>
              <w:rPr>
                <w:rFonts w:ascii="宋体" w:hAnsi="宋体"/>
              </w:rPr>
            </w:pPr>
          </w:p>
        </w:tc>
        <w:tc>
          <w:tcPr>
            <w:tcW w:w="727" w:type="pct"/>
            <w:vAlign w:val="center"/>
          </w:tcPr>
          <w:p w14:paraId="36D532DE">
            <w:pPr>
              <w:spacing w:line="400" w:lineRule="exact"/>
              <w:rPr>
                <w:rFonts w:ascii="宋体" w:hAnsi="宋体"/>
              </w:rPr>
            </w:pPr>
          </w:p>
        </w:tc>
        <w:tc>
          <w:tcPr>
            <w:tcW w:w="1128" w:type="pct"/>
            <w:vAlign w:val="center"/>
          </w:tcPr>
          <w:p w14:paraId="307808E2">
            <w:pPr>
              <w:spacing w:line="400" w:lineRule="exact"/>
              <w:rPr>
                <w:rFonts w:ascii="宋体" w:hAnsi="宋体"/>
              </w:rPr>
            </w:pPr>
          </w:p>
        </w:tc>
      </w:tr>
      <w:tr w14:paraId="0170E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4D984D88">
            <w:pPr>
              <w:spacing w:line="400" w:lineRule="exact"/>
              <w:jc w:val="center"/>
              <w:rPr>
                <w:rFonts w:ascii="宋体" w:hAnsi="宋体"/>
              </w:rPr>
            </w:pPr>
          </w:p>
        </w:tc>
        <w:tc>
          <w:tcPr>
            <w:tcW w:w="684" w:type="pct"/>
            <w:vAlign w:val="center"/>
          </w:tcPr>
          <w:p w14:paraId="60EAE34D">
            <w:pPr>
              <w:spacing w:line="400" w:lineRule="exact"/>
              <w:rPr>
                <w:rFonts w:ascii="宋体" w:hAnsi="宋体"/>
              </w:rPr>
            </w:pPr>
          </w:p>
        </w:tc>
        <w:tc>
          <w:tcPr>
            <w:tcW w:w="691" w:type="pct"/>
            <w:vAlign w:val="center"/>
          </w:tcPr>
          <w:p w14:paraId="7DEBD86F">
            <w:pPr>
              <w:spacing w:line="400" w:lineRule="exact"/>
              <w:rPr>
                <w:rFonts w:ascii="宋体" w:hAnsi="宋体"/>
              </w:rPr>
            </w:pPr>
          </w:p>
        </w:tc>
        <w:tc>
          <w:tcPr>
            <w:tcW w:w="879" w:type="pct"/>
            <w:vAlign w:val="center"/>
          </w:tcPr>
          <w:p w14:paraId="7FF23503">
            <w:pPr>
              <w:spacing w:line="400" w:lineRule="exact"/>
              <w:rPr>
                <w:rFonts w:ascii="宋体" w:hAnsi="宋体"/>
              </w:rPr>
            </w:pPr>
          </w:p>
        </w:tc>
        <w:tc>
          <w:tcPr>
            <w:tcW w:w="507" w:type="pct"/>
            <w:vAlign w:val="center"/>
          </w:tcPr>
          <w:p w14:paraId="594D6074">
            <w:pPr>
              <w:spacing w:line="400" w:lineRule="exact"/>
              <w:rPr>
                <w:rFonts w:ascii="宋体" w:hAnsi="宋体"/>
              </w:rPr>
            </w:pPr>
          </w:p>
        </w:tc>
        <w:tc>
          <w:tcPr>
            <w:tcW w:w="727" w:type="pct"/>
            <w:vAlign w:val="center"/>
          </w:tcPr>
          <w:p w14:paraId="4A7379AE">
            <w:pPr>
              <w:spacing w:line="400" w:lineRule="exact"/>
              <w:rPr>
                <w:rFonts w:ascii="宋体" w:hAnsi="宋体"/>
              </w:rPr>
            </w:pPr>
          </w:p>
        </w:tc>
        <w:tc>
          <w:tcPr>
            <w:tcW w:w="1128" w:type="pct"/>
            <w:vAlign w:val="center"/>
          </w:tcPr>
          <w:p w14:paraId="4DC3536D">
            <w:pPr>
              <w:spacing w:line="400" w:lineRule="exact"/>
              <w:rPr>
                <w:rFonts w:ascii="宋体" w:hAnsi="宋体"/>
              </w:rPr>
            </w:pPr>
          </w:p>
        </w:tc>
      </w:tr>
      <w:tr w14:paraId="757A0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10409C5C">
            <w:pPr>
              <w:spacing w:line="400" w:lineRule="exact"/>
              <w:jc w:val="center"/>
              <w:rPr>
                <w:rFonts w:ascii="宋体" w:hAnsi="宋体"/>
              </w:rPr>
            </w:pPr>
          </w:p>
        </w:tc>
        <w:tc>
          <w:tcPr>
            <w:tcW w:w="684" w:type="pct"/>
            <w:vAlign w:val="center"/>
          </w:tcPr>
          <w:p w14:paraId="649833F7">
            <w:pPr>
              <w:spacing w:line="400" w:lineRule="exact"/>
              <w:rPr>
                <w:rFonts w:ascii="宋体" w:hAnsi="宋体"/>
              </w:rPr>
            </w:pPr>
          </w:p>
        </w:tc>
        <w:tc>
          <w:tcPr>
            <w:tcW w:w="691" w:type="pct"/>
            <w:vAlign w:val="center"/>
          </w:tcPr>
          <w:p w14:paraId="71FF34F0">
            <w:pPr>
              <w:spacing w:line="400" w:lineRule="exact"/>
              <w:rPr>
                <w:rFonts w:ascii="宋体" w:hAnsi="宋体"/>
              </w:rPr>
            </w:pPr>
          </w:p>
        </w:tc>
        <w:tc>
          <w:tcPr>
            <w:tcW w:w="879" w:type="pct"/>
            <w:vAlign w:val="center"/>
          </w:tcPr>
          <w:p w14:paraId="0C7CE797">
            <w:pPr>
              <w:spacing w:line="400" w:lineRule="exact"/>
              <w:rPr>
                <w:rFonts w:ascii="宋体" w:hAnsi="宋体"/>
              </w:rPr>
            </w:pPr>
          </w:p>
        </w:tc>
        <w:tc>
          <w:tcPr>
            <w:tcW w:w="507" w:type="pct"/>
            <w:vAlign w:val="center"/>
          </w:tcPr>
          <w:p w14:paraId="7990D3A8">
            <w:pPr>
              <w:spacing w:line="400" w:lineRule="exact"/>
              <w:rPr>
                <w:rFonts w:ascii="宋体" w:hAnsi="宋体"/>
              </w:rPr>
            </w:pPr>
          </w:p>
        </w:tc>
        <w:tc>
          <w:tcPr>
            <w:tcW w:w="727" w:type="pct"/>
            <w:vAlign w:val="center"/>
          </w:tcPr>
          <w:p w14:paraId="2DD02431">
            <w:pPr>
              <w:spacing w:line="400" w:lineRule="exact"/>
              <w:rPr>
                <w:rFonts w:ascii="宋体" w:hAnsi="宋体"/>
              </w:rPr>
            </w:pPr>
          </w:p>
        </w:tc>
        <w:tc>
          <w:tcPr>
            <w:tcW w:w="1128" w:type="pct"/>
            <w:vAlign w:val="center"/>
          </w:tcPr>
          <w:p w14:paraId="6C07EA4D">
            <w:pPr>
              <w:spacing w:line="400" w:lineRule="exact"/>
              <w:rPr>
                <w:rFonts w:ascii="宋体" w:hAnsi="宋体"/>
              </w:rPr>
            </w:pPr>
          </w:p>
        </w:tc>
      </w:tr>
    </w:tbl>
    <w:p w14:paraId="7BAC33AE">
      <w:pPr>
        <w:rPr>
          <w:rFonts w:ascii="宋体" w:hAnsi="宋体"/>
        </w:rPr>
      </w:pPr>
    </w:p>
    <w:p w14:paraId="76ED359A">
      <w:pPr>
        <w:autoSpaceDE w:val="0"/>
        <w:autoSpaceDN w:val="0"/>
        <w:adjustRightInd w:val="0"/>
        <w:snapToGrid w:val="0"/>
        <w:spacing w:line="360" w:lineRule="auto"/>
        <w:rPr>
          <w:rFonts w:ascii="宋体" w:hAnsi="宋体"/>
          <w:kern w:val="0"/>
        </w:rPr>
      </w:pPr>
      <w:r>
        <w:rPr>
          <w:rFonts w:hint="eastAsia" w:ascii="宋体" w:hAnsi="宋体"/>
          <w:kern w:val="0"/>
        </w:rPr>
        <w:t>注：须提供项目合同复印件（或扫描件）。</w:t>
      </w:r>
    </w:p>
    <w:p w14:paraId="1A8E7D3D">
      <w:pPr>
        <w:widowControl/>
        <w:ind w:firstLine="482"/>
        <w:jc w:val="center"/>
        <w:rPr>
          <w:b/>
          <w:bCs/>
          <w:color w:val="000000" w:themeColor="text1"/>
          <w:sz w:val="24"/>
          <w:szCs w:val="24"/>
          <w:u w:val="single"/>
        </w:rPr>
      </w:pPr>
    </w:p>
    <w:p w14:paraId="0D5DBBAD">
      <w:pPr>
        <w:widowControl/>
        <w:ind w:firstLine="482"/>
        <w:jc w:val="center"/>
        <w:rPr>
          <w:b/>
          <w:bCs/>
          <w:color w:val="000000" w:themeColor="text1"/>
          <w:sz w:val="24"/>
          <w:szCs w:val="24"/>
          <w:u w:val="single"/>
        </w:rPr>
      </w:pPr>
    </w:p>
    <w:p w14:paraId="232C5507">
      <w:pPr>
        <w:widowControl/>
        <w:ind w:firstLine="482"/>
        <w:jc w:val="center"/>
        <w:rPr>
          <w:b/>
          <w:bCs/>
          <w:color w:val="000000" w:themeColor="text1"/>
          <w:sz w:val="24"/>
          <w:szCs w:val="24"/>
          <w:u w:val="single"/>
        </w:rPr>
      </w:pPr>
    </w:p>
    <w:p w14:paraId="4A9C67B6">
      <w:pPr>
        <w:rPr>
          <w:b/>
          <w:bCs/>
          <w:color w:val="000000" w:themeColor="text1"/>
          <w:sz w:val="24"/>
          <w:szCs w:val="24"/>
          <w:u w:val="single"/>
        </w:rPr>
      </w:pPr>
      <w:r>
        <w:rPr>
          <w:b/>
          <w:bCs/>
          <w:color w:val="000000" w:themeColor="text1"/>
          <w:sz w:val="24"/>
          <w:szCs w:val="24"/>
          <w:u w:val="single"/>
        </w:rPr>
        <w:br w:type="page"/>
      </w:r>
    </w:p>
    <w:p w14:paraId="53F4DE3D">
      <w:pPr>
        <w:pStyle w:val="4"/>
        <w:snapToGrid w:val="0"/>
        <w:spacing w:before="0" w:after="0" w:line="360" w:lineRule="auto"/>
        <w:jc w:val="center"/>
        <w:rPr>
          <w:rFonts w:asciiTheme="minorEastAsia" w:hAnsiTheme="minorEastAsia" w:eastAsiaTheme="minorEastAsia" w:cstheme="minorEastAsia"/>
          <w:w w:val="99"/>
          <w:kern w:val="0"/>
          <w:sz w:val="28"/>
          <w:szCs w:val="28"/>
        </w:rPr>
      </w:pPr>
      <w:r>
        <w:rPr>
          <w:rFonts w:hint="eastAsia" w:asciiTheme="minorEastAsia" w:hAnsiTheme="minorEastAsia" w:eastAsiaTheme="minorEastAsia" w:cstheme="minorEastAsia"/>
          <w:w w:val="99"/>
          <w:kern w:val="0"/>
          <w:sz w:val="28"/>
          <w:szCs w:val="28"/>
        </w:rPr>
        <w:t>表5投标人与其他单位存在控股、管理关系情况表</w:t>
      </w:r>
    </w:p>
    <w:tbl>
      <w:tblPr>
        <w:tblStyle w:val="48"/>
        <w:tblW w:w="96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71"/>
        <w:gridCol w:w="4935"/>
      </w:tblGrid>
      <w:tr w14:paraId="6807F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4671" w:type="dxa"/>
            <w:noWrap/>
            <w:vAlign w:val="center"/>
          </w:tcPr>
          <w:p w14:paraId="69D8D288">
            <w:pPr>
              <w:widowControl/>
              <w:jc w:val="center"/>
              <w:rPr>
                <w:rFonts w:ascii="宋体" w:hAnsi="宋体"/>
                <w:bCs/>
                <w:kern w:val="0"/>
              </w:rPr>
            </w:pPr>
            <w:r>
              <w:rPr>
                <w:rFonts w:hint="eastAsia" w:ascii="宋体" w:hAnsi="宋体"/>
                <w:bCs/>
                <w:kern w:val="0"/>
              </w:rPr>
              <w:t>与投标人存在控股、管理关系的单位名称</w:t>
            </w:r>
          </w:p>
        </w:tc>
        <w:tc>
          <w:tcPr>
            <w:tcW w:w="4935" w:type="dxa"/>
            <w:noWrap/>
            <w:vAlign w:val="center"/>
          </w:tcPr>
          <w:p w14:paraId="0F630AB6">
            <w:pPr>
              <w:widowControl/>
              <w:jc w:val="center"/>
              <w:rPr>
                <w:rFonts w:ascii="宋体" w:hAnsi="宋体"/>
                <w:bCs/>
                <w:kern w:val="0"/>
              </w:rPr>
            </w:pPr>
            <w:r>
              <w:rPr>
                <w:rFonts w:hint="eastAsia" w:ascii="宋体" w:hAnsi="宋体"/>
                <w:bCs/>
                <w:kern w:val="0"/>
              </w:rPr>
              <w:t>控股、管理关系情况说明</w:t>
            </w:r>
          </w:p>
        </w:tc>
      </w:tr>
      <w:tr w14:paraId="1FDF2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ign w:val="center"/>
          </w:tcPr>
          <w:p w14:paraId="28DBD05D">
            <w:pPr>
              <w:widowControl/>
              <w:jc w:val="center"/>
              <w:rPr>
                <w:rFonts w:ascii="宋体" w:hAnsi="宋体"/>
                <w:bCs/>
                <w:kern w:val="0"/>
              </w:rPr>
            </w:pPr>
          </w:p>
        </w:tc>
        <w:tc>
          <w:tcPr>
            <w:tcW w:w="4935" w:type="dxa"/>
            <w:noWrap/>
            <w:vAlign w:val="center"/>
          </w:tcPr>
          <w:p w14:paraId="2286E281">
            <w:pPr>
              <w:widowControl/>
              <w:jc w:val="center"/>
              <w:rPr>
                <w:rFonts w:ascii="宋体" w:hAnsi="宋体"/>
                <w:bCs/>
                <w:kern w:val="0"/>
              </w:rPr>
            </w:pPr>
          </w:p>
        </w:tc>
      </w:tr>
      <w:tr w14:paraId="13873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ign w:val="center"/>
          </w:tcPr>
          <w:p w14:paraId="79184B17">
            <w:pPr>
              <w:widowControl/>
              <w:jc w:val="center"/>
              <w:rPr>
                <w:rFonts w:ascii="宋体" w:hAnsi="宋体"/>
                <w:bCs/>
                <w:kern w:val="0"/>
              </w:rPr>
            </w:pPr>
          </w:p>
        </w:tc>
        <w:tc>
          <w:tcPr>
            <w:tcW w:w="4935" w:type="dxa"/>
            <w:noWrap/>
            <w:vAlign w:val="center"/>
          </w:tcPr>
          <w:p w14:paraId="4CC0C79C">
            <w:pPr>
              <w:widowControl/>
              <w:jc w:val="center"/>
              <w:rPr>
                <w:rFonts w:ascii="宋体" w:hAnsi="宋体"/>
                <w:bCs/>
                <w:kern w:val="0"/>
              </w:rPr>
            </w:pPr>
          </w:p>
        </w:tc>
      </w:tr>
      <w:tr w14:paraId="6586D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ign w:val="center"/>
          </w:tcPr>
          <w:p w14:paraId="03A82F3D">
            <w:pPr>
              <w:widowControl/>
              <w:jc w:val="center"/>
              <w:rPr>
                <w:rFonts w:ascii="宋体" w:hAnsi="宋体"/>
                <w:bCs/>
                <w:kern w:val="0"/>
              </w:rPr>
            </w:pPr>
          </w:p>
        </w:tc>
        <w:tc>
          <w:tcPr>
            <w:tcW w:w="4935" w:type="dxa"/>
            <w:noWrap/>
            <w:vAlign w:val="center"/>
          </w:tcPr>
          <w:p w14:paraId="072D6113">
            <w:pPr>
              <w:widowControl/>
              <w:jc w:val="center"/>
              <w:rPr>
                <w:rFonts w:ascii="宋体" w:hAnsi="宋体"/>
                <w:bCs/>
                <w:kern w:val="0"/>
              </w:rPr>
            </w:pPr>
          </w:p>
        </w:tc>
      </w:tr>
      <w:tr w14:paraId="08E98D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ign w:val="center"/>
          </w:tcPr>
          <w:p w14:paraId="409460D6">
            <w:pPr>
              <w:widowControl/>
              <w:jc w:val="center"/>
              <w:rPr>
                <w:rFonts w:ascii="宋体" w:hAnsi="宋体"/>
                <w:bCs/>
                <w:kern w:val="0"/>
              </w:rPr>
            </w:pPr>
          </w:p>
        </w:tc>
        <w:tc>
          <w:tcPr>
            <w:tcW w:w="4935" w:type="dxa"/>
            <w:noWrap/>
            <w:vAlign w:val="center"/>
          </w:tcPr>
          <w:p w14:paraId="3F962027">
            <w:pPr>
              <w:widowControl/>
              <w:jc w:val="center"/>
              <w:rPr>
                <w:rFonts w:ascii="宋体" w:hAnsi="宋体"/>
                <w:bCs/>
                <w:kern w:val="0"/>
              </w:rPr>
            </w:pPr>
          </w:p>
        </w:tc>
      </w:tr>
      <w:tr w14:paraId="08C1A8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ign w:val="center"/>
          </w:tcPr>
          <w:p w14:paraId="39FB4591">
            <w:pPr>
              <w:widowControl/>
              <w:jc w:val="center"/>
              <w:rPr>
                <w:rFonts w:ascii="宋体" w:hAnsi="宋体"/>
                <w:bCs/>
                <w:kern w:val="0"/>
              </w:rPr>
            </w:pPr>
          </w:p>
        </w:tc>
        <w:tc>
          <w:tcPr>
            <w:tcW w:w="4935" w:type="dxa"/>
            <w:noWrap/>
            <w:vAlign w:val="center"/>
          </w:tcPr>
          <w:p w14:paraId="6C878FA5">
            <w:pPr>
              <w:widowControl/>
              <w:jc w:val="center"/>
              <w:rPr>
                <w:rFonts w:ascii="宋体" w:hAnsi="宋体"/>
                <w:bCs/>
                <w:kern w:val="0"/>
              </w:rPr>
            </w:pPr>
          </w:p>
        </w:tc>
      </w:tr>
      <w:tr w14:paraId="2288C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ign w:val="center"/>
          </w:tcPr>
          <w:p w14:paraId="78C4C71C">
            <w:pPr>
              <w:widowControl/>
              <w:jc w:val="center"/>
              <w:rPr>
                <w:rFonts w:ascii="宋体" w:hAnsi="宋体"/>
                <w:bCs/>
                <w:kern w:val="0"/>
              </w:rPr>
            </w:pPr>
          </w:p>
        </w:tc>
        <w:tc>
          <w:tcPr>
            <w:tcW w:w="4935" w:type="dxa"/>
            <w:noWrap/>
            <w:vAlign w:val="center"/>
          </w:tcPr>
          <w:p w14:paraId="67C15F57">
            <w:pPr>
              <w:widowControl/>
              <w:jc w:val="center"/>
              <w:rPr>
                <w:rFonts w:ascii="宋体" w:hAnsi="宋体"/>
                <w:bCs/>
                <w:kern w:val="0"/>
              </w:rPr>
            </w:pPr>
          </w:p>
        </w:tc>
      </w:tr>
    </w:tbl>
    <w:p w14:paraId="5B04752C">
      <w:pPr>
        <w:widowControl/>
        <w:spacing w:line="360" w:lineRule="auto"/>
        <w:jc w:val="left"/>
        <w:rPr>
          <w:rFonts w:ascii="宋体" w:hAnsi="宋体"/>
          <w:b/>
          <w:kern w:val="0"/>
        </w:rPr>
      </w:pPr>
      <w:r>
        <w:rPr>
          <w:rFonts w:hint="eastAsia" w:ascii="宋体" w:hAnsi="宋体"/>
          <w:b/>
          <w:kern w:val="0"/>
        </w:rPr>
        <w:t xml:space="preserve">注：投标人须如实填写所有与之有控股、管理关系的情况； </w:t>
      </w:r>
    </w:p>
    <w:p w14:paraId="1DACD9E6">
      <w:pPr>
        <w:widowControl/>
        <w:spacing w:line="360" w:lineRule="auto"/>
        <w:jc w:val="left"/>
        <w:rPr>
          <w:rFonts w:ascii="宋体" w:hAnsi="宋体"/>
          <w:b/>
          <w:kern w:val="0"/>
        </w:rPr>
      </w:pPr>
    </w:p>
    <w:p w14:paraId="4510C4E2">
      <w:pPr>
        <w:widowControl/>
        <w:spacing w:line="360" w:lineRule="auto"/>
        <w:jc w:val="left"/>
        <w:rPr>
          <w:rFonts w:ascii="宋体" w:hAnsi="宋体"/>
          <w:b/>
          <w:kern w:val="0"/>
        </w:rPr>
      </w:pPr>
    </w:p>
    <w:p w14:paraId="491587A0">
      <w:pPr>
        <w:spacing w:line="360" w:lineRule="auto"/>
        <w:ind w:firstLine="420" w:firstLineChars="200"/>
        <w:rPr>
          <w:rFonts w:ascii="宋体" w:hAnsi="宋体"/>
        </w:rPr>
      </w:pPr>
      <w:r>
        <w:rPr>
          <w:rFonts w:hint="eastAsia" w:ascii="宋体" w:hAnsi="宋体"/>
        </w:rPr>
        <w:t>投标人（盖章）：</w:t>
      </w:r>
    </w:p>
    <w:p w14:paraId="00028AD1">
      <w:pPr>
        <w:spacing w:line="360" w:lineRule="auto"/>
        <w:ind w:firstLine="420" w:firstLineChars="200"/>
        <w:rPr>
          <w:rFonts w:ascii="宋体" w:hAnsi="宋体"/>
        </w:rPr>
      </w:pPr>
      <w:r>
        <w:rPr>
          <w:rFonts w:hint="eastAsia" w:ascii="宋体" w:hAnsi="宋体"/>
        </w:rPr>
        <w:t>日期：年月日</w:t>
      </w:r>
    </w:p>
    <w:p w14:paraId="02F80708">
      <w:pPr>
        <w:widowControl/>
        <w:ind w:firstLine="482"/>
        <w:jc w:val="center"/>
        <w:rPr>
          <w:b/>
          <w:bCs/>
          <w:color w:val="000000" w:themeColor="text1"/>
          <w:sz w:val="24"/>
          <w:szCs w:val="24"/>
          <w:u w:val="single"/>
        </w:rPr>
      </w:pPr>
    </w:p>
    <w:p w14:paraId="4C842000">
      <w:pPr>
        <w:widowControl/>
        <w:ind w:firstLine="482"/>
        <w:jc w:val="center"/>
        <w:rPr>
          <w:b/>
          <w:bCs/>
          <w:color w:val="000000" w:themeColor="text1"/>
          <w:sz w:val="24"/>
          <w:szCs w:val="24"/>
          <w:u w:val="single"/>
        </w:rPr>
      </w:pPr>
    </w:p>
    <w:p w14:paraId="39E1E678">
      <w:pPr>
        <w:pStyle w:val="13"/>
        <w:ind w:firstLine="738" w:firstLineChars="350"/>
        <w:jc w:val="center"/>
        <w:rPr>
          <w:b/>
          <w:bCs/>
          <w:color w:val="000000" w:themeColor="text1"/>
          <w:u w:val="single"/>
        </w:rPr>
        <w:sectPr>
          <w:pgSz w:w="11906" w:h="16838"/>
          <w:pgMar w:top="1389" w:right="1474" w:bottom="1389" w:left="1644" w:header="851" w:footer="992" w:gutter="0"/>
          <w:cols w:space="720" w:num="1"/>
          <w:docGrid w:linePitch="312" w:charSpace="0"/>
        </w:sectPr>
      </w:pPr>
    </w:p>
    <w:p w14:paraId="7BAD6F34">
      <w:pPr>
        <w:spacing w:after="120"/>
        <w:jc w:val="center"/>
        <w:rPr>
          <w:rFonts w:ascii="宋体" w:hAnsi="宋体"/>
          <w:b/>
          <w:color w:val="000000" w:themeColor="text1"/>
          <w:sz w:val="32"/>
          <w:szCs w:val="32"/>
        </w:rPr>
      </w:pPr>
      <w:bookmarkStart w:id="415" w:name="_Toc232821999"/>
      <w:bookmarkStart w:id="416" w:name="_Toc6300"/>
      <w:bookmarkStart w:id="417" w:name="_Toc3957"/>
      <w:r>
        <w:rPr>
          <w:rFonts w:hint="eastAsia" w:ascii="宋体" w:hAnsi="宋体"/>
          <w:b/>
          <w:color w:val="000000" w:themeColor="text1"/>
          <w:sz w:val="32"/>
          <w:szCs w:val="32"/>
        </w:rPr>
        <w:t>六、其他材料</w:t>
      </w:r>
    </w:p>
    <w:p w14:paraId="544F04C6">
      <w:pPr>
        <w:spacing w:after="120"/>
        <w:jc w:val="center"/>
        <w:rPr>
          <w:rFonts w:ascii="宋体" w:hAnsi="宋体"/>
          <w:b/>
          <w:color w:val="000000" w:themeColor="text1"/>
          <w:sz w:val="28"/>
          <w:szCs w:val="28"/>
        </w:rPr>
      </w:pPr>
      <w:r>
        <w:rPr>
          <w:rFonts w:hint="eastAsia" w:ascii="宋体" w:hAnsi="宋体"/>
          <w:b/>
          <w:color w:val="000000" w:themeColor="text1"/>
          <w:sz w:val="28"/>
          <w:szCs w:val="28"/>
        </w:rPr>
        <w:t>1、不拖欠民工工资的承诺书</w:t>
      </w:r>
    </w:p>
    <w:p w14:paraId="237B9943">
      <w:pPr>
        <w:jc w:val="center"/>
        <w:rPr>
          <w:rFonts w:eastAsia="黑体"/>
          <w:color w:val="000000" w:themeColor="text1"/>
          <w:sz w:val="28"/>
          <w:szCs w:val="28"/>
        </w:rPr>
      </w:pPr>
    </w:p>
    <w:p w14:paraId="501BB57D">
      <w:pPr>
        <w:spacing w:line="360" w:lineRule="auto"/>
        <w:rPr>
          <w:rFonts w:ascii="宋体"/>
          <w:color w:val="000000" w:themeColor="text1"/>
          <w:sz w:val="24"/>
        </w:rPr>
      </w:pPr>
    </w:p>
    <w:p w14:paraId="100E85A8">
      <w:pPr>
        <w:snapToGrid w:val="0"/>
        <w:spacing w:line="288" w:lineRule="auto"/>
        <w:rPr>
          <w:rFonts w:ascii="宋体"/>
          <w:color w:val="000000" w:themeColor="text1"/>
        </w:rPr>
      </w:pPr>
      <w:r>
        <w:rPr>
          <w:rFonts w:hint="eastAsia" w:cs="宋体"/>
          <w:b/>
          <w:bCs/>
          <w:color w:val="000000" w:themeColor="text1"/>
          <w:u w:val="single"/>
        </w:rPr>
        <w:t>南通市港航事业发展中心</w:t>
      </w:r>
      <w:r>
        <w:rPr>
          <w:rFonts w:hint="eastAsia" w:cs="宋体"/>
          <w:color w:val="000000" w:themeColor="text1"/>
        </w:rPr>
        <w:t>：</w:t>
      </w:r>
    </w:p>
    <w:p w14:paraId="42B267ED">
      <w:pPr>
        <w:snapToGrid w:val="0"/>
        <w:spacing w:line="288" w:lineRule="auto"/>
        <w:rPr>
          <w:rFonts w:ascii="宋体"/>
          <w:color w:val="000000" w:themeColor="text1"/>
        </w:rPr>
      </w:pPr>
    </w:p>
    <w:p w14:paraId="4BD08BD6">
      <w:pPr>
        <w:snapToGrid w:val="0"/>
        <w:spacing w:line="360" w:lineRule="auto"/>
        <w:rPr>
          <w:rFonts w:ascii="宋体"/>
          <w:color w:val="000000" w:themeColor="text1"/>
        </w:rPr>
      </w:pPr>
      <w:r>
        <w:rPr>
          <w:rFonts w:hint="eastAsia" w:ascii="宋体" w:hAnsi="宋体" w:cs="宋体"/>
          <w:color w:val="000000" w:themeColor="text1"/>
        </w:rPr>
        <w:t>为保护农民工的合法权益，不拖欠农民工工资，本人以</w:t>
      </w:r>
      <w:r>
        <w:rPr>
          <w:rFonts w:hint="eastAsia" w:ascii="宋体" w:hAnsi="宋体" w:cs="宋体"/>
          <w:color w:val="000000" w:themeColor="text1"/>
          <w:u w:val="single"/>
        </w:rPr>
        <w:t>（投标人全称</w:t>
      </w:r>
      <w:r>
        <w:rPr>
          <w:rFonts w:ascii="宋体" w:hAnsi="宋体" w:cs="宋体"/>
          <w:color w:val="000000" w:themeColor="text1"/>
          <w:u w:val="single"/>
        </w:rPr>
        <w:t>)</w:t>
      </w:r>
      <w:r>
        <w:rPr>
          <w:rFonts w:hint="eastAsia" w:ascii="宋体" w:hAnsi="宋体" w:cs="宋体"/>
          <w:color w:val="000000" w:themeColor="text1"/>
          <w:u w:val="single"/>
        </w:rPr>
        <w:t>　</w:t>
      </w:r>
      <w:r>
        <w:rPr>
          <w:rFonts w:hint="eastAsia" w:ascii="宋体" w:hAnsi="宋体" w:cs="宋体"/>
          <w:color w:val="000000" w:themeColor="text1"/>
        </w:rPr>
        <w:t>法定代表人</w:t>
      </w:r>
      <w:r>
        <w:rPr>
          <w:rFonts w:ascii="宋体" w:hAnsi="宋体" w:cs="宋体"/>
          <w:color w:val="000000" w:themeColor="text1"/>
        </w:rPr>
        <w:t>(</w:t>
      </w:r>
      <w:r>
        <w:rPr>
          <w:rFonts w:hint="eastAsia" w:ascii="宋体" w:hAnsi="宋体" w:cs="宋体"/>
          <w:color w:val="000000" w:themeColor="text1"/>
        </w:rPr>
        <w:t>或其授权的代理人</w:t>
      </w:r>
      <w:r>
        <w:rPr>
          <w:rFonts w:ascii="宋体" w:hAnsi="宋体" w:cs="宋体"/>
          <w:color w:val="000000" w:themeColor="text1"/>
        </w:rPr>
        <w:t>)</w:t>
      </w:r>
      <w:r>
        <w:rPr>
          <w:rFonts w:hint="eastAsia" w:ascii="宋体" w:hAnsi="宋体" w:cs="宋体"/>
          <w:color w:val="000000" w:themeColor="text1"/>
        </w:rPr>
        <w:t>的资格，郑重承诺：</w:t>
      </w:r>
    </w:p>
    <w:p w14:paraId="593F6CD9">
      <w:pPr>
        <w:snapToGrid w:val="0"/>
        <w:spacing w:line="360" w:lineRule="auto"/>
        <w:ind w:firstLine="420" w:firstLineChars="200"/>
        <w:rPr>
          <w:rFonts w:ascii="宋体"/>
          <w:color w:val="000000" w:themeColor="text1"/>
        </w:rPr>
      </w:pPr>
      <w:r>
        <w:rPr>
          <w:rFonts w:hint="eastAsia" w:ascii="宋体" w:hAnsi="宋体" w:cs="宋体"/>
          <w:color w:val="000000" w:themeColor="text1"/>
        </w:rPr>
        <w:t>本企业如果中标</w:t>
      </w:r>
      <w:r>
        <w:rPr>
          <w:rFonts w:ascii="宋体" w:hAnsi="宋体" w:cs="宋体"/>
          <w:color w:val="000000" w:themeColor="text1"/>
        </w:rPr>
        <w:t>项目</w:t>
      </w:r>
      <w:r>
        <w:rPr>
          <w:rFonts w:hint="eastAsia" w:ascii="宋体" w:hAnsi="宋体" w:cs="宋体"/>
          <w:color w:val="000000" w:themeColor="text1"/>
        </w:rPr>
        <w:t>标段，需要使用农民工时，将保证做到：</w:t>
      </w:r>
    </w:p>
    <w:p w14:paraId="28A6EEC3">
      <w:pPr>
        <w:snapToGrid w:val="0"/>
        <w:spacing w:line="360" w:lineRule="auto"/>
        <w:ind w:firstLine="420" w:firstLineChars="200"/>
        <w:rPr>
          <w:rFonts w:ascii="宋体"/>
          <w:color w:val="000000" w:themeColor="text1"/>
        </w:rPr>
      </w:pPr>
      <w:r>
        <w:rPr>
          <w:rFonts w:ascii="宋体" w:hAnsi="宋体" w:cs="宋体"/>
          <w:color w:val="000000" w:themeColor="text1"/>
        </w:rPr>
        <w:t>1</w:t>
      </w:r>
      <w:r>
        <w:rPr>
          <w:rFonts w:hint="eastAsia" w:ascii="宋体" w:hAnsi="宋体" w:cs="宋体"/>
          <w:color w:val="000000" w:themeColor="text1"/>
        </w:rPr>
        <w:t>．按照《劳动法》规定雇佣和使用农民工，工资将直接发放给农民工本人，严禁发放给“包工头”。</w:t>
      </w:r>
    </w:p>
    <w:p w14:paraId="1E03B9BE">
      <w:pPr>
        <w:snapToGrid w:val="0"/>
        <w:spacing w:line="360" w:lineRule="auto"/>
        <w:ind w:firstLine="420" w:firstLineChars="200"/>
        <w:rPr>
          <w:rFonts w:ascii="宋体"/>
          <w:color w:val="000000" w:themeColor="text1"/>
        </w:rPr>
      </w:pPr>
      <w:r>
        <w:rPr>
          <w:rFonts w:ascii="宋体" w:hAnsi="宋体" w:cs="宋体"/>
          <w:color w:val="000000" w:themeColor="text1"/>
        </w:rPr>
        <w:t>2</w:t>
      </w:r>
      <w:r>
        <w:rPr>
          <w:rFonts w:hint="eastAsia" w:ascii="宋体" w:hAnsi="宋体" w:cs="宋体"/>
          <w:color w:val="000000" w:themeColor="text1"/>
        </w:rPr>
        <w:t>．如果发生违反规定拖欠或克扣农民工工资行为，造成农民工上访，本公司愿意接受业主暂停我公司</w:t>
      </w:r>
      <w:r>
        <w:rPr>
          <w:rFonts w:ascii="宋体" w:hAnsi="宋体" w:cs="宋体"/>
          <w:color w:val="000000" w:themeColor="text1"/>
        </w:rPr>
        <w:t>1</w:t>
      </w:r>
      <w:r>
        <w:rPr>
          <w:rFonts w:hint="eastAsia" w:ascii="宋体" w:hAnsi="宋体" w:cs="宋体"/>
          <w:color w:val="000000" w:themeColor="text1"/>
        </w:rPr>
        <w:t>年期间参加业主招标项目投标资格的处罚，同时愿意接受交通行政主管部门依照有关规定作出的其它处罚决定。</w:t>
      </w:r>
    </w:p>
    <w:p w14:paraId="79FCC356">
      <w:pPr>
        <w:snapToGrid w:val="0"/>
        <w:spacing w:line="360" w:lineRule="auto"/>
        <w:ind w:firstLine="420" w:firstLineChars="200"/>
        <w:rPr>
          <w:rFonts w:ascii="宋体"/>
          <w:color w:val="000000" w:themeColor="text1"/>
        </w:rPr>
      </w:pPr>
      <w:r>
        <w:rPr>
          <w:rFonts w:ascii="宋体" w:hAnsi="宋体" w:cs="宋体"/>
          <w:color w:val="000000" w:themeColor="text1"/>
        </w:rPr>
        <w:t>3</w:t>
      </w:r>
      <w:r>
        <w:rPr>
          <w:rFonts w:hint="eastAsia" w:ascii="宋体" w:hAnsi="宋体" w:cs="宋体"/>
          <w:color w:val="000000" w:themeColor="text1"/>
        </w:rPr>
        <w:t>．根据江苏省人民政府办公厅《关于全面推进农民工参加公伤保险的意见》，为农民工办理工伤保险，并按照国家相关规定为农民工缴纳医疗保险。</w:t>
      </w:r>
    </w:p>
    <w:p w14:paraId="7A3E46A7">
      <w:pPr>
        <w:snapToGrid w:val="0"/>
        <w:spacing w:line="360" w:lineRule="auto"/>
        <w:ind w:firstLine="420" w:firstLineChars="200"/>
        <w:rPr>
          <w:rFonts w:ascii="宋体"/>
          <w:color w:val="000000" w:themeColor="text1"/>
        </w:rPr>
      </w:pPr>
    </w:p>
    <w:p w14:paraId="30812CAA">
      <w:pPr>
        <w:snapToGrid w:val="0"/>
        <w:spacing w:line="360" w:lineRule="auto"/>
        <w:rPr>
          <w:rFonts w:ascii="宋体"/>
          <w:color w:val="000000" w:themeColor="text1"/>
        </w:rPr>
      </w:pPr>
    </w:p>
    <w:p w14:paraId="5DD77B5E">
      <w:pPr>
        <w:snapToGrid w:val="0"/>
        <w:spacing w:line="360" w:lineRule="auto"/>
        <w:ind w:firstLine="3164" w:firstLineChars="1507"/>
        <w:rPr>
          <w:rFonts w:ascii="宋体"/>
          <w:color w:val="000000" w:themeColor="text1"/>
        </w:rPr>
      </w:pPr>
      <w:r>
        <w:rPr>
          <w:rFonts w:hint="eastAsia" w:ascii="宋体" w:hAnsi="宋体" w:cs="宋体"/>
          <w:color w:val="000000" w:themeColor="text1"/>
        </w:rPr>
        <w:t>承诺人：</w:t>
      </w:r>
      <w:r>
        <w:rPr>
          <w:rFonts w:hint="eastAsia" w:ascii="宋体" w:hAnsi="宋体" w:cs="宋体"/>
          <w:color w:val="000000" w:themeColor="text1"/>
          <w:u w:val="single"/>
        </w:rPr>
        <w:t>（盖单位公章）</w:t>
      </w:r>
    </w:p>
    <w:p w14:paraId="4615B75E">
      <w:pPr>
        <w:snapToGrid w:val="0"/>
        <w:spacing w:line="360" w:lineRule="auto"/>
        <w:ind w:firstLine="3164" w:firstLineChars="1507"/>
        <w:rPr>
          <w:rFonts w:ascii="宋体"/>
          <w:color w:val="000000" w:themeColor="text1"/>
        </w:rPr>
      </w:pPr>
      <w:r>
        <w:rPr>
          <w:rFonts w:hint="eastAsia" w:ascii="宋体" w:hAnsi="宋体" w:cs="宋体"/>
          <w:color w:val="000000" w:themeColor="text1"/>
        </w:rPr>
        <w:t>承诺人法定代表人：</w:t>
      </w:r>
      <w:r>
        <w:rPr>
          <w:rFonts w:hint="eastAsia" w:ascii="Arial" w:hAnsi="Arial" w:cs="宋体"/>
          <w:color w:val="000000" w:themeColor="text1"/>
          <w:u w:val="single"/>
        </w:rPr>
        <w:t>（亲笔签名或盖章）</w:t>
      </w:r>
    </w:p>
    <w:p w14:paraId="3D60F735">
      <w:pPr>
        <w:keepNext/>
        <w:keepLines/>
        <w:spacing w:before="240" w:after="120" w:afterLines="50" w:line="400" w:lineRule="exact"/>
        <w:ind w:firstLine="420" w:firstLineChars="200"/>
        <w:jc w:val="right"/>
        <w:outlineLvl w:val="1"/>
        <w:rPr>
          <w:rFonts w:ascii="宋体" w:hAnsi="宋体" w:cs="宋体"/>
          <w:color w:val="000000" w:themeColor="text1"/>
        </w:rPr>
      </w:pPr>
      <w:r>
        <w:rPr>
          <w:rFonts w:hint="eastAsia" w:ascii="宋体" w:hAnsi="宋体" w:cs="宋体"/>
          <w:color w:val="000000" w:themeColor="text1"/>
        </w:rPr>
        <w:t>日期：年月日</w:t>
      </w:r>
    </w:p>
    <w:p w14:paraId="3E0BA15B">
      <w:pPr>
        <w:keepNext/>
        <w:keepLines/>
        <w:spacing w:before="240" w:after="120" w:afterLines="50" w:line="400" w:lineRule="exact"/>
        <w:ind w:firstLine="883" w:firstLineChars="200"/>
        <w:jc w:val="left"/>
        <w:outlineLvl w:val="1"/>
        <w:rPr>
          <w:rFonts w:ascii="宋体" w:hAnsi="宋体"/>
          <w:b/>
          <w:color w:val="000000" w:themeColor="text1"/>
          <w:sz w:val="30"/>
          <w:szCs w:val="30"/>
        </w:rPr>
      </w:pPr>
      <w:r>
        <w:rPr>
          <w:b/>
          <w:color w:val="000000" w:themeColor="text1"/>
          <w:sz w:val="44"/>
          <w:szCs w:val="44"/>
        </w:rPr>
        <w:br w:type="page"/>
      </w:r>
      <w:bookmarkStart w:id="418" w:name="_Toc467487406"/>
      <w:bookmarkStart w:id="419" w:name="_Toc396227814"/>
      <w:bookmarkStart w:id="420" w:name="_Toc297552050"/>
      <w:bookmarkStart w:id="421" w:name="_Toc455668324"/>
      <w:bookmarkStart w:id="422" w:name="_Toc454186136"/>
    </w:p>
    <w:p w14:paraId="4B2120FD">
      <w:pPr>
        <w:spacing w:after="120"/>
        <w:jc w:val="center"/>
        <w:rPr>
          <w:rFonts w:ascii="宋体" w:hAnsi="宋体"/>
          <w:b/>
          <w:bCs/>
          <w:color w:val="000000" w:themeColor="text1"/>
          <w:sz w:val="28"/>
          <w:szCs w:val="28"/>
        </w:rPr>
      </w:pPr>
      <w:r>
        <w:rPr>
          <w:rFonts w:hint="eastAsia" w:ascii="宋体" w:hAnsi="宋体"/>
          <w:b/>
          <w:color w:val="000000" w:themeColor="text1"/>
          <w:sz w:val="28"/>
          <w:szCs w:val="28"/>
        </w:rPr>
        <w:t>2、确保工程质量不非法分包不违法转包承诺书</w:t>
      </w:r>
      <w:bookmarkEnd w:id="418"/>
      <w:bookmarkEnd w:id="419"/>
      <w:bookmarkEnd w:id="420"/>
      <w:bookmarkEnd w:id="421"/>
      <w:bookmarkEnd w:id="422"/>
    </w:p>
    <w:p w14:paraId="6E3BFACB">
      <w:pPr>
        <w:jc w:val="center"/>
        <w:rPr>
          <w:rFonts w:ascii="宋体"/>
          <w:b/>
          <w:bCs/>
          <w:color w:val="000000" w:themeColor="text1"/>
          <w:sz w:val="32"/>
          <w:szCs w:val="32"/>
        </w:rPr>
      </w:pPr>
    </w:p>
    <w:p w14:paraId="5110BDAC">
      <w:pPr>
        <w:spacing w:line="360" w:lineRule="auto"/>
        <w:rPr>
          <w:rFonts w:ascii="Arial" w:hAnsi="Arial" w:cs="Arial"/>
          <w:b/>
          <w:bCs/>
          <w:color w:val="000000" w:themeColor="text1"/>
          <w:u w:val="single"/>
        </w:rPr>
      </w:pPr>
      <w:r>
        <w:rPr>
          <w:rFonts w:hint="eastAsia" w:ascii="宋体" w:cs="宋体"/>
          <w:color w:val="000000" w:themeColor="text1"/>
        </w:rPr>
        <w:t>致：</w:t>
      </w:r>
      <w:r>
        <w:rPr>
          <w:rFonts w:hint="eastAsia" w:ascii="Arial" w:hAnsi="Arial" w:cs="宋体"/>
          <w:b/>
          <w:bCs/>
          <w:color w:val="000000" w:themeColor="text1"/>
          <w:u w:val="single"/>
        </w:rPr>
        <w:t>南通港航事业发展中心</w:t>
      </w:r>
    </w:p>
    <w:p w14:paraId="226B86ED">
      <w:pPr>
        <w:spacing w:line="360" w:lineRule="auto"/>
        <w:rPr>
          <w:rFonts w:ascii="Arial" w:hAnsi="Arial" w:cs="Arial"/>
          <w:b/>
          <w:bCs/>
          <w:color w:val="000000" w:themeColor="text1"/>
          <w:u w:val="single"/>
        </w:rPr>
      </w:pPr>
    </w:p>
    <w:p w14:paraId="385E85B6">
      <w:pPr>
        <w:spacing w:line="360" w:lineRule="auto"/>
        <w:ind w:firstLine="420" w:firstLineChars="200"/>
        <w:rPr>
          <w:rFonts w:ascii="宋体"/>
          <w:color w:val="000000" w:themeColor="text1"/>
        </w:rPr>
      </w:pPr>
      <w:r>
        <w:rPr>
          <w:rFonts w:hint="eastAsia" w:ascii="Arial" w:hAnsi="Arial" w:cs="宋体"/>
          <w:color w:val="000000" w:themeColor="text1"/>
        </w:rPr>
        <w:t>我单位在工程招标中若有幸中标，在这项工程实施过程中，我们除响应招标文件的</w:t>
      </w:r>
      <w:r>
        <w:rPr>
          <w:rFonts w:hint="eastAsia" w:ascii="宋体" w:cs="宋体"/>
          <w:color w:val="000000" w:themeColor="text1"/>
        </w:rPr>
        <w:t>所有条款，认真履行合同规定的各项义务，并郑重承诺：</w:t>
      </w:r>
    </w:p>
    <w:p w14:paraId="705BC06F">
      <w:pPr>
        <w:spacing w:line="360" w:lineRule="auto"/>
        <w:ind w:firstLine="420"/>
        <w:rPr>
          <w:rFonts w:ascii="宋体"/>
          <w:color w:val="000000" w:themeColor="text1"/>
        </w:rPr>
      </w:pPr>
      <w:r>
        <w:rPr>
          <w:rFonts w:hint="eastAsia" w:ascii="宋体" w:cs="宋体"/>
          <w:color w:val="000000" w:themeColor="text1"/>
        </w:rPr>
        <w:t>在此项工程施工过程中，我单位一定科学计划、精心组织，确保工期和质量，并保证不非法分包、不违法转包中标工程，并随时接受业主及其代表监督。在工程实施阶段，我单位保证对本工程不进行非法分包。若因特殊原因确需调整，必须报经业主及其代表批准同意，否则，应视为我单位非法分包行为。</w:t>
      </w:r>
    </w:p>
    <w:p w14:paraId="0B1A44F8">
      <w:pPr>
        <w:spacing w:line="360" w:lineRule="auto"/>
        <w:ind w:firstLine="420"/>
        <w:rPr>
          <w:rFonts w:ascii="宋体"/>
          <w:color w:val="000000" w:themeColor="text1"/>
        </w:rPr>
      </w:pPr>
      <w:r>
        <w:rPr>
          <w:rFonts w:hint="eastAsia" w:ascii="宋体" w:cs="宋体"/>
          <w:color w:val="000000" w:themeColor="text1"/>
        </w:rPr>
        <w:t>若我单位在项目实施过程中违背上述承诺，出现非法分包或违法转包等行为，我单位甘愿接受处罚，无条件撤出现场，并放弃二年投标资格。</w:t>
      </w:r>
    </w:p>
    <w:p w14:paraId="6954BFC8">
      <w:pPr>
        <w:spacing w:line="360" w:lineRule="auto"/>
        <w:rPr>
          <w:rFonts w:ascii="宋体"/>
          <w:color w:val="000000" w:themeColor="text1"/>
        </w:rPr>
      </w:pPr>
    </w:p>
    <w:p w14:paraId="25C6DF6A">
      <w:pPr>
        <w:spacing w:line="360" w:lineRule="auto"/>
        <w:rPr>
          <w:rFonts w:ascii="宋体"/>
          <w:color w:val="000000" w:themeColor="text1"/>
        </w:rPr>
      </w:pPr>
    </w:p>
    <w:p w14:paraId="462FECB2">
      <w:pPr>
        <w:snapToGrid w:val="0"/>
        <w:spacing w:line="360" w:lineRule="auto"/>
        <w:ind w:firstLine="3164" w:firstLineChars="1507"/>
        <w:rPr>
          <w:rFonts w:ascii="宋体"/>
          <w:color w:val="000000" w:themeColor="text1"/>
        </w:rPr>
      </w:pPr>
      <w:r>
        <w:rPr>
          <w:rFonts w:hint="eastAsia" w:ascii="宋体" w:hAnsi="宋体" w:cs="宋体"/>
          <w:color w:val="000000" w:themeColor="text1"/>
        </w:rPr>
        <w:t>承诺人：</w:t>
      </w:r>
      <w:r>
        <w:rPr>
          <w:rFonts w:hint="eastAsia" w:ascii="宋体" w:hAnsi="宋体" w:cs="宋体"/>
          <w:color w:val="000000" w:themeColor="text1"/>
          <w:u w:val="single"/>
        </w:rPr>
        <w:t>（盖单位公章）</w:t>
      </w:r>
    </w:p>
    <w:p w14:paraId="0F0F23A5">
      <w:pPr>
        <w:snapToGrid w:val="0"/>
        <w:spacing w:line="360" w:lineRule="auto"/>
        <w:ind w:firstLine="3164" w:firstLineChars="1507"/>
        <w:rPr>
          <w:rFonts w:ascii="宋体"/>
          <w:color w:val="000000" w:themeColor="text1"/>
        </w:rPr>
      </w:pPr>
      <w:r>
        <w:rPr>
          <w:rFonts w:hint="eastAsia" w:ascii="宋体" w:hAnsi="宋体" w:cs="宋体"/>
          <w:color w:val="000000" w:themeColor="text1"/>
        </w:rPr>
        <w:t>承诺人法定代表人：</w:t>
      </w:r>
      <w:r>
        <w:rPr>
          <w:rFonts w:hint="eastAsia" w:ascii="Arial" w:hAnsi="Arial" w:cs="宋体"/>
          <w:color w:val="000000" w:themeColor="text1"/>
          <w:u w:val="single"/>
        </w:rPr>
        <w:t>（亲笔签名或盖章）</w:t>
      </w:r>
    </w:p>
    <w:p w14:paraId="3E47CB3A">
      <w:pPr>
        <w:keepNext/>
        <w:keepLines/>
        <w:spacing w:before="240" w:after="120" w:afterLines="50" w:line="400" w:lineRule="exact"/>
        <w:ind w:firstLine="420" w:firstLineChars="200"/>
        <w:jc w:val="right"/>
        <w:outlineLvl w:val="1"/>
        <w:rPr>
          <w:rFonts w:ascii="宋体" w:hAnsi="宋体" w:cs="宋体"/>
          <w:color w:val="000000" w:themeColor="text1"/>
        </w:rPr>
      </w:pPr>
      <w:r>
        <w:rPr>
          <w:rFonts w:hint="eastAsia" w:ascii="宋体" w:hAnsi="宋体" w:cs="宋体"/>
          <w:color w:val="000000" w:themeColor="text1"/>
        </w:rPr>
        <w:t>日期：年月日</w:t>
      </w:r>
    </w:p>
    <w:p w14:paraId="17BB6B84">
      <w:pPr>
        <w:spacing w:line="360" w:lineRule="auto"/>
        <w:jc w:val="center"/>
        <w:rPr>
          <w:rFonts w:ascii="宋体" w:hAnsi="宋体"/>
          <w:b/>
          <w:bCs/>
          <w:color w:val="000000" w:themeColor="text1"/>
          <w:sz w:val="30"/>
        </w:rPr>
      </w:pPr>
      <w:r>
        <w:rPr>
          <w:rFonts w:ascii="宋体" w:hAnsi="宋体"/>
          <w:b/>
          <w:color w:val="000000" w:themeColor="text1"/>
          <w:sz w:val="30"/>
          <w:szCs w:val="30"/>
        </w:rPr>
        <w:br w:type="page"/>
      </w:r>
      <w:r>
        <w:rPr>
          <w:rFonts w:hint="eastAsia" w:ascii="宋体" w:hAnsi="宋体"/>
          <w:b/>
          <w:color w:val="000000" w:themeColor="text1"/>
          <w:sz w:val="28"/>
          <w:szCs w:val="28"/>
        </w:rPr>
        <w:t>3</w:t>
      </w:r>
      <w:r>
        <w:rPr>
          <w:rFonts w:hint="eastAsia" w:ascii="宋体" w:hAnsi="宋体"/>
          <w:b/>
          <w:bCs/>
          <w:color w:val="000000" w:themeColor="text1"/>
          <w:sz w:val="28"/>
          <w:szCs w:val="28"/>
        </w:rPr>
        <w:t>、拟投入项目经理任职</w:t>
      </w:r>
      <w:r>
        <w:rPr>
          <w:rFonts w:ascii="宋体" w:hAnsi="宋体"/>
          <w:b/>
          <w:bCs/>
          <w:color w:val="000000" w:themeColor="text1"/>
          <w:sz w:val="28"/>
          <w:szCs w:val="28"/>
        </w:rPr>
        <w:t>承诺</w:t>
      </w:r>
      <w:r>
        <w:rPr>
          <w:rFonts w:hint="eastAsia" w:ascii="宋体" w:hAnsi="宋体"/>
          <w:b/>
          <w:bCs/>
          <w:color w:val="000000" w:themeColor="text1"/>
          <w:sz w:val="28"/>
          <w:szCs w:val="28"/>
        </w:rPr>
        <w:t>函</w:t>
      </w:r>
    </w:p>
    <w:p w14:paraId="57A4D40C">
      <w:pPr>
        <w:spacing w:line="360" w:lineRule="auto"/>
        <w:jc w:val="left"/>
        <w:rPr>
          <w:color w:val="000000" w:themeColor="text1"/>
        </w:rPr>
      </w:pPr>
    </w:p>
    <w:p w14:paraId="7EFF19E1">
      <w:pPr>
        <w:spacing w:line="360" w:lineRule="auto"/>
        <w:jc w:val="left"/>
        <w:rPr>
          <w:rFonts w:ascii="宋体"/>
          <w:color w:val="000000" w:themeColor="text1"/>
        </w:rPr>
      </w:pPr>
      <w:r>
        <w:rPr>
          <w:rFonts w:hint="eastAsia" w:ascii="宋体" w:hAnsi="宋体"/>
          <w:color w:val="000000" w:themeColor="text1"/>
          <w:u w:val="single"/>
        </w:rPr>
        <w:t>南通市港航事业发展中心</w:t>
      </w:r>
      <w:r>
        <w:rPr>
          <w:rFonts w:hint="eastAsia" w:ascii="宋体"/>
          <w:color w:val="000000" w:themeColor="text1"/>
        </w:rPr>
        <w:t>：</w:t>
      </w:r>
    </w:p>
    <w:p w14:paraId="48BB4972">
      <w:pPr>
        <w:spacing w:line="360" w:lineRule="auto"/>
        <w:ind w:firstLine="420"/>
        <w:rPr>
          <w:rFonts w:ascii="宋体"/>
          <w:color w:val="000000" w:themeColor="text1"/>
        </w:rPr>
      </w:pPr>
      <w:r>
        <w:rPr>
          <w:rFonts w:hint="eastAsia" w:ascii="宋体"/>
          <w:color w:val="000000" w:themeColor="text1"/>
        </w:rPr>
        <w:t>我单位自愿参加</w:t>
      </w:r>
      <w:r>
        <w:rPr>
          <w:rFonts w:hint="eastAsia" w:ascii="Arial" w:hAnsi="Arial" w:cs="Arial"/>
          <w:bCs/>
          <w:color w:val="000000" w:themeColor="text1"/>
        </w:rPr>
        <w:t>项目</w:t>
      </w:r>
      <w:r>
        <w:rPr>
          <w:rFonts w:hint="eastAsia" w:ascii="宋体"/>
          <w:color w:val="000000" w:themeColor="text1"/>
        </w:rPr>
        <w:t>的投标活动，并郑重承诺：</w:t>
      </w:r>
    </w:p>
    <w:p w14:paraId="2CFE4401">
      <w:pPr>
        <w:spacing w:line="360" w:lineRule="auto"/>
        <w:ind w:firstLine="420"/>
        <w:rPr>
          <w:rFonts w:ascii="宋体"/>
          <w:color w:val="000000" w:themeColor="text1"/>
        </w:rPr>
      </w:pPr>
      <w:r>
        <w:rPr>
          <w:rFonts w:hint="eastAsia" w:ascii="宋体"/>
          <w:color w:val="000000" w:themeColor="text1"/>
        </w:rPr>
        <w:t>若我单位中标本项目，拟投入本项目的项目经理在中标后均能立即赴本项目任职,且不在本项目以外的项目兼任职务。</w:t>
      </w:r>
    </w:p>
    <w:p w14:paraId="3C9031AE">
      <w:pPr>
        <w:spacing w:line="360" w:lineRule="auto"/>
        <w:ind w:firstLine="420"/>
        <w:rPr>
          <w:rFonts w:ascii="宋体"/>
          <w:color w:val="000000" w:themeColor="text1"/>
        </w:rPr>
      </w:pPr>
      <w:r>
        <w:rPr>
          <w:rFonts w:hint="eastAsia" w:ascii="宋体"/>
          <w:color w:val="000000" w:themeColor="text1"/>
        </w:rPr>
        <w:t>我方如有违背承诺，愿意承担相关违约责任。</w:t>
      </w:r>
    </w:p>
    <w:p w14:paraId="47A23455">
      <w:pPr>
        <w:spacing w:line="720" w:lineRule="auto"/>
        <w:ind w:firstLine="2839" w:firstLineChars="1352"/>
        <w:rPr>
          <w:rFonts w:ascii="宋体" w:hAnsi="宋体"/>
          <w:color w:val="000000" w:themeColor="text1"/>
        </w:rPr>
      </w:pPr>
    </w:p>
    <w:p w14:paraId="761AAA7A">
      <w:pPr>
        <w:spacing w:line="720" w:lineRule="auto"/>
        <w:ind w:firstLine="2839" w:firstLineChars="1352"/>
        <w:rPr>
          <w:rFonts w:ascii="宋体" w:hAnsi="宋体"/>
          <w:color w:val="000000" w:themeColor="text1"/>
        </w:rPr>
      </w:pPr>
    </w:p>
    <w:p w14:paraId="15C1819B">
      <w:pPr>
        <w:spacing w:line="720" w:lineRule="auto"/>
        <w:ind w:firstLine="2839" w:firstLineChars="1352"/>
        <w:rPr>
          <w:rFonts w:ascii="宋体" w:hAnsi="宋体"/>
          <w:color w:val="000000" w:themeColor="text1"/>
        </w:rPr>
      </w:pPr>
    </w:p>
    <w:p w14:paraId="5869245A">
      <w:pPr>
        <w:snapToGrid w:val="0"/>
        <w:spacing w:line="360" w:lineRule="auto"/>
        <w:ind w:firstLine="3164" w:firstLineChars="1507"/>
        <w:rPr>
          <w:rFonts w:ascii="宋体"/>
          <w:color w:val="000000" w:themeColor="text1"/>
        </w:rPr>
      </w:pPr>
      <w:r>
        <w:rPr>
          <w:rFonts w:hint="eastAsia" w:ascii="宋体" w:hAnsi="宋体" w:cs="宋体"/>
          <w:color w:val="000000" w:themeColor="text1"/>
        </w:rPr>
        <w:t>承诺人：</w:t>
      </w:r>
      <w:r>
        <w:rPr>
          <w:rFonts w:hint="eastAsia" w:ascii="宋体" w:hAnsi="宋体" w:cs="宋体"/>
          <w:color w:val="000000" w:themeColor="text1"/>
          <w:u w:val="single"/>
        </w:rPr>
        <w:t>（盖单位公章）</w:t>
      </w:r>
    </w:p>
    <w:p w14:paraId="7E840CAE">
      <w:pPr>
        <w:snapToGrid w:val="0"/>
        <w:spacing w:line="360" w:lineRule="auto"/>
        <w:ind w:firstLine="3164" w:firstLineChars="1507"/>
        <w:rPr>
          <w:rFonts w:ascii="宋体"/>
          <w:color w:val="000000" w:themeColor="text1"/>
        </w:rPr>
      </w:pPr>
      <w:r>
        <w:rPr>
          <w:rFonts w:hint="eastAsia" w:ascii="宋体" w:hAnsi="宋体" w:cs="宋体"/>
          <w:color w:val="000000" w:themeColor="text1"/>
        </w:rPr>
        <w:t>承诺人法定代表人：</w:t>
      </w:r>
      <w:r>
        <w:rPr>
          <w:rFonts w:hint="eastAsia" w:ascii="Arial" w:hAnsi="Arial" w:cs="宋体"/>
          <w:color w:val="000000" w:themeColor="text1"/>
          <w:u w:val="single"/>
        </w:rPr>
        <w:t>（亲笔签名或盖章）</w:t>
      </w:r>
    </w:p>
    <w:p w14:paraId="1E3C21E5">
      <w:pPr>
        <w:keepNext/>
        <w:keepLines/>
        <w:spacing w:before="240" w:after="120" w:afterLines="50" w:line="400" w:lineRule="exact"/>
        <w:ind w:firstLine="420" w:firstLineChars="200"/>
        <w:jc w:val="right"/>
        <w:outlineLvl w:val="1"/>
        <w:rPr>
          <w:rFonts w:ascii="宋体" w:hAnsi="宋体" w:cs="宋体"/>
          <w:color w:val="000000" w:themeColor="text1"/>
        </w:rPr>
      </w:pPr>
      <w:r>
        <w:rPr>
          <w:rFonts w:hint="eastAsia" w:ascii="宋体" w:hAnsi="宋体" w:cs="宋体"/>
          <w:color w:val="000000" w:themeColor="text1"/>
        </w:rPr>
        <w:t>日期：年月日</w:t>
      </w:r>
    </w:p>
    <w:p w14:paraId="1BAB324A">
      <w:pPr>
        <w:spacing w:line="360" w:lineRule="auto"/>
        <w:jc w:val="center"/>
        <w:rPr>
          <w:rFonts w:ascii="Arial" w:hAnsi="Arial" w:cs="Arial"/>
          <w:b/>
          <w:bCs/>
          <w:color w:val="000000" w:themeColor="text1"/>
          <w:sz w:val="30"/>
        </w:rPr>
      </w:pPr>
      <w:r>
        <w:rPr>
          <w:rFonts w:eastAsia="黑体"/>
          <w:color w:val="000000" w:themeColor="text1"/>
          <w:sz w:val="44"/>
          <w:szCs w:val="44"/>
        </w:rPr>
        <w:br w:type="page"/>
      </w:r>
      <w:r>
        <w:rPr>
          <w:rFonts w:hint="eastAsia" w:ascii="宋体" w:hAnsi="宋体"/>
          <w:b/>
          <w:color w:val="000000" w:themeColor="text1"/>
          <w:sz w:val="28"/>
          <w:szCs w:val="28"/>
        </w:rPr>
        <w:t>4、资料真实性承诺书</w:t>
      </w:r>
    </w:p>
    <w:p w14:paraId="28CF851F">
      <w:pPr>
        <w:rPr>
          <w:color w:val="000000" w:themeColor="text1"/>
        </w:rPr>
      </w:pPr>
    </w:p>
    <w:p w14:paraId="50D122DF">
      <w:pPr>
        <w:spacing w:line="360" w:lineRule="auto"/>
        <w:rPr>
          <w:rFonts w:ascii="宋体" w:hAnsi="宋体"/>
          <w:color w:val="000000" w:themeColor="text1"/>
          <w:u w:val="single"/>
        </w:rPr>
      </w:pPr>
      <w:r>
        <w:rPr>
          <w:rFonts w:hint="eastAsia" w:ascii="Arial Narrow" w:hAnsi="Arial Narrow"/>
          <w:color w:val="000000" w:themeColor="text1"/>
        </w:rPr>
        <w:t>致：</w:t>
      </w:r>
      <w:r>
        <w:rPr>
          <w:rFonts w:hint="eastAsia" w:ascii="宋体" w:hAnsi="宋体" w:cs="宋体"/>
          <w:color w:val="000000" w:themeColor="text1"/>
          <w:u w:val="single"/>
        </w:rPr>
        <w:t>南通市港航事业发展中心</w:t>
      </w:r>
    </w:p>
    <w:p w14:paraId="554697E6">
      <w:pPr>
        <w:spacing w:line="360" w:lineRule="auto"/>
        <w:ind w:firstLine="420" w:firstLineChars="200"/>
        <w:rPr>
          <w:rFonts w:ascii="宋体" w:hAnsi="宋体"/>
          <w:color w:val="000000" w:themeColor="text1"/>
        </w:rPr>
      </w:pPr>
    </w:p>
    <w:p w14:paraId="4CF94E9E">
      <w:pPr>
        <w:spacing w:line="360" w:lineRule="auto"/>
        <w:ind w:firstLine="420" w:firstLineChars="200"/>
        <w:rPr>
          <w:rFonts w:ascii="宋体" w:hAnsi="宋体"/>
          <w:color w:val="000000" w:themeColor="text1"/>
        </w:rPr>
      </w:pPr>
      <w:r>
        <w:rPr>
          <w:rFonts w:hint="eastAsia" w:ascii="宋体" w:hAnsi="宋体"/>
          <w:color w:val="000000" w:themeColor="text1"/>
        </w:rPr>
        <w:t>本人郑重承诺：</w:t>
      </w:r>
    </w:p>
    <w:p w14:paraId="4B5C5AC5">
      <w:pPr>
        <w:spacing w:line="360" w:lineRule="auto"/>
        <w:ind w:firstLine="315" w:firstLineChars="150"/>
        <w:rPr>
          <w:rFonts w:ascii="宋体" w:hAnsi="宋体"/>
          <w:color w:val="000000" w:themeColor="text1"/>
        </w:rPr>
      </w:pPr>
    </w:p>
    <w:p w14:paraId="4E187401">
      <w:pPr>
        <w:spacing w:line="360" w:lineRule="auto"/>
        <w:ind w:firstLine="315" w:firstLineChars="150"/>
        <w:rPr>
          <w:rFonts w:ascii="宋体" w:hAnsi="宋体"/>
          <w:color w:val="000000" w:themeColor="text1"/>
        </w:rPr>
      </w:pPr>
      <w:r>
        <w:rPr>
          <w:rFonts w:hint="eastAsia" w:ascii="宋体" w:hAnsi="宋体"/>
          <w:color w:val="000000" w:themeColor="text1"/>
        </w:rPr>
        <w:t>本企业此次参加投标所提交的所有资料都是真实的。如有虚假，本企业愿意接受招标人作出的取消投标、中标资格的决定，同时愿意接受相关行政主管部门依法作出的其它处罚诀定。</w:t>
      </w:r>
    </w:p>
    <w:p w14:paraId="4B31B273">
      <w:pPr>
        <w:spacing w:line="360" w:lineRule="auto"/>
        <w:jc w:val="center"/>
        <w:rPr>
          <w:rFonts w:ascii="宋体" w:hAnsi="宋体"/>
          <w:color w:val="000000" w:themeColor="text1"/>
        </w:rPr>
      </w:pPr>
    </w:p>
    <w:p w14:paraId="6F10EF80">
      <w:pPr>
        <w:spacing w:line="360" w:lineRule="auto"/>
        <w:rPr>
          <w:rFonts w:ascii="宋体" w:hAnsi="宋体"/>
          <w:color w:val="000000" w:themeColor="text1"/>
        </w:rPr>
      </w:pPr>
    </w:p>
    <w:p w14:paraId="359BB097">
      <w:pPr>
        <w:spacing w:line="360" w:lineRule="auto"/>
        <w:rPr>
          <w:rFonts w:ascii="宋体" w:hAnsi="宋体"/>
          <w:color w:val="000000" w:themeColor="text1"/>
        </w:rPr>
      </w:pPr>
    </w:p>
    <w:p w14:paraId="0FCD7CA7">
      <w:pPr>
        <w:spacing w:line="360" w:lineRule="auto"/>
        <w:rPr>
          <w:rFonts w:ascii="宋体" w:hAnsi="宋体"/>
          <w:color w:val="000000" w:themeColor="text1"/>
        </w:rPr>
      </w:pPr>
    </w:p>
    <w:p w14:paraId="7EE2FB5C">
      <w:pPr>
        <w:spacing w:line="360" w:lineRule="auto"/>
        <w:rPr>
          <w:rFonts w:ascii="宋体" w:hAnsi="宋体"/>
          <w:color w:val="000000" w:themeColor="text1"/>
        </w:rPr>
      </w:pPr>
    </w:p>
    <w:p w14:paraId="5AFA8980">
      <w:pPr>
        <w:snapToGrid w:val="0"/>
        <w:spacing w:line="360" w:lineRule="auto"/>
        <w:ind w:firstLine="3794" w:firstLineChars="1807"/>
        <w:rPr>
          <w:rFonts w:ascii="宋体"/>
          <w:color w:val="000000" w:themeColor="text1"/>
        </w:rPr>
      </w:pPr>
      <w:r>
        <w:rPr>
          <w:rFonts w:hint="eastAsia" w:ascii="宋体" w:hAnsi="宋体" w:cs="宋体"/>
          <w:color w:val="000000" w:themeColor="text1"/>
        </w:rPr>
        <w:t>承诺人：</w:t>
      </w:r>
      <w:r>
        <w:rPr>
          <w:rFonts w:hint="eastAsia" w:ascii="宋体" w:hAnsi="宋体" w:cs="宋体"/>
          <w:color w:val="000000" w:themeColor="text1"/>
          <w:u w:val="single"/>
        </w:rPr>
        <w:t>（盖单位公章）</w:t>
      </w:r>
    </w:p>
    <w:p w14:paraId="34ACAA53">
      <w:pPr>
        <w:snapToGrid w:val="0"/>
        <w:spacing w:line="360" w:lineRule="auto"/>
        <w:ind w:firstLine="3794" w:firstLineChars="1807"/>
        <w:rPr>
          <w:rFonts w:ascii="宋体"/>
          <w:color w:val="000000" w:themeColor="text1"/>
        </w:rPr>
      </w:pPr>
      <w:r>
        <w:rPr>
          <w:rFonts w:hint="eastAsia" w:ascii="宋体" w:hAnsi="宋体" w:cs="宋体"/>
          <w:color w:val="000000" w:themeColor="text1"/>
        </w:rPr>
        <w:t>承诺人法定代表人：</w:t>
      </w:r>
      <w:r>
        <w:rPr>
          <w:rFonts w:hint="eastAsia" w:ascii="Arial" w:hAnsi="Arial" w:cs="宋体"/>
          <w:color w:val="000000" w:themeColor="text1"/>
          <w:u w:val="single"/>
        </w:rPr>
        <w:t>（亲笔签名或盖章）</w:t>
      </w:r>
    </w:p>
    <w:p w14:paraId="3ACFC5E8">
      <w:pPr>
        <w:spacing w:line="440" w:lineRule="exact"/>
        <w:jc w:val="right"/>
        <w:rPr>
          <w:rFonts w:ascii="宋体" w:hAnsi="宋体"/>
          <w:color w:val="000000" w:themeColor="text1"/>
          <w:sz w:val="24"/>
        </w:rPr>
      </w:pPr>
      <w:r>
        <w:rPr>
          <w:rFonts w:hint="eastAsia" w:ascii="宋体" w:hAnsi="宋体"/>
          <w:color w:val="000000" w:themeColor="text1"/>
        </w:rPr>
        <w:t>日期：年月</w:t>
      </w:r>
      <w:r>
        <w:rPr>
          <w:rFonts w:ascii="宋体" w:hAnsi="宋体"/>
          <w:color w:val="000000" w:themeColor="text1"/>
        </w:rPr>
        <w:t>日</w:t>
      </w:r>
    </w:p>
    <w:p w14:paraId="7A2E86AD">
      <w:pPr>
        <w:spacing w:line="360" w:lineRule="auto"/>
        <w:jc w:val="center"/>
        <w:rPr>
          <w:rFonts w:ascii="宋体" w:hAnsi="宋体"/>
          <w:b/>
          <w:color w:val="000000" w:themeColor="text1"/>
          <w:sz w:val="30"/>
          <w:szCs w:val="30"/>
        </w:rPr>
      </w:pPr>
      <w:r>
        <w:rPr>
          <w:rFonts w:eastAsia="黑体"/>
          <w:color w:val="000000" w:themeColor="text1"/>
          <w:sz w:val="44"/>
          <w:szCs w:val="44"/>
        </w:rPr>
        <w:br w:type="page"/>
      </w:r>
      <w:r>
        <w:rPr>
          <w:rFonts w:hint="eastAsia" w:ascii="宋体" w:hAnsi="宋体"/>
          <w:b/>
          <w:color w:val="000000" w:themeColor="text1"/>
          <w:sz w:val="28"/>
          <w:szCs w:val="28"/>
        </w:rPr>
        <w:t>5、江苏省公路水运建设项目投标人信用承诺书</w:t>
      </w:r>
    </w:p>
    <w:p w14:paraId="28569EAD">
      <w:pPr>
        <w:spacing w:line="560" w:lineRule="exact"/>
        <w:rPr>
          <w:rFonts w:ascii="宋体" w:hAnsi="宋体" w:cs="宋体"/>
          <w:color w:val="000000" w:themeColor="text1"/>
          <w:spacing w:val="-5"/>
        </w:rPr>
      </w:pPr>
      <w:r>
        <w:rPr>
          <w:rFonts w:hint="eastAsia" w:ascii="宋体" w:hAnsi="宋体" w:cs="宋体"/>
          <w:color w:val="000000" w:themeColor="text1"/>
          <w:spacing w:val="-5"/>
        </w:rPr>
        <w:t>致：</w:t>
      </w:r>
      <w:r>
        <w:rPr>
          <w:rFonts w:hint="eastAsia" w:ascii="宋体" w:hAnsi="宋体" w:cs="宋体"/>
          <w:color w:val="000000" w:themeColor="text1"/>
          <w:u w:val="single"/>
        </w:rPr>
        <w:t>南通市港航事业发展中心</w:t>
      </w:r>
    </w:p>
    <w:p w14:paraId="1E29B5D2">
      <w:pPr>
        <w:spacing w:line="560" w:lineRule="exact"/>
        <w:ind w:firstLine="400" w:firstLineChars="200"/>
        <w:rPr>
          <w:rFonts w:ascii="宋体" w:hAnsi="宋体" w:cs="宋体"/>
          <w:color w:val="000000" w:themeColor="text1"/>
          <w:spacing w:val="-5"/>
        </w:rPr>
      </w:pPr>
      <w:r>
        <w:rPr>
          <w:rFonts w:hint="eastAsia" w:ascii="宋体" w:hAnsi="宋体" w:cs="宋体"/>
          <w:color w:val="000000" w:themeColor="text1"/>
          <w:spacing w:val="-5"/>
        </w:rPr>
        <w:t>我单位自愿参加项目的投标活动，并郑重承诺：</w:t>
      </w:r>
    </w:p>
    <w:p w14:paraId="64FEFC04">
      <w:pPr>
        <w:numPr>
          <w:ilvl w:val="0"/>
          <w:numId w:val="1"/>
        </w:numPr>
        <w:spacing w:line="560" w:lineRule="exact"/>
        <w:ind w:firstLine="400" w:firstLineChars="200"/>
        <w:rPr>
          <w:rFonts w:ascii="宋体" w:hAnsi="宋体" w:cs="宋体"/>
          <w:color w:val="000000" w:themeColor="text1"/>
          <w:spacing w:val="-5"/>
        </w:rPr>
      </w:pPr>
      <w:r>
        <w:rPr>
          <w:rFonts w:hint="eastAsia" w:ascii="宋体" w:hAnsi="宋体" w:cs="宋体"/>
          <w:color w:val="000000" w:themeColor="text1"/>
          <w:spacing w:val="-5"/>
        </w:rPr>
        <w:t>在本项目的投标活动中遵守国家法律法规和交通运输行业有关规定，遵循公开、公平、公正和诚信原则。</w:t>
      </w:r>
    </w:p>
    <w:p w14:paraId="59D1C390">
      <w:pPr>
        <w:numPr>
          <w:ilvl w:val="0"/>
          <w:numId w:val="1"/>
        </w:numPr>
        <w:spacing w:line="560" w:lineRule="exact"/>
        <w:ind w:firstLine="400" w:firstLineChars="200"/>
        <w:rPr>
          <w:rFonts w:ascii="宋体" w:hAnsi="宋体" w:cs="宋体"/>
          <w:color w:val="000000" w:themeColor="text1"/>
          <w:spacing w:val="-5"/>
        </w:rPr>
      </w:pPr>
      <w:r>
        <w:rPr>
          <w:rFonts w:hint="eastAsia" w:ascii="宋体" w:hAnsi="宋体" w:cs="宋体"/>
          <w:color w:val="000000" w:themeColor="text1"/>
          <w:spacing w:val="-5"/>
        </w:rPr>
        <w:t>投标文件中所有内容均为我单位真实意愿表达，相关信息真实有效。</w:t>
      </w:r>
    </w:p>
    <w:p w14:paraId="466C1589">
      <w:pPr>
        <w:numPr>
          <w:ilvl w:val="0"/>
          <w:numId w:val="1"/>
        </w:numPr>
        <w:spacing w:line="560" w:lineRule="exact"/>
        <w:ind w:firstLine="400" w:firstLineChars="200"/>
        <w:rPr>
          <w:rFonts w:ascii="宋体" w:hAnsi="宋体" w:cs="宋体"/>
          <w:color w:val="000000" w:themeColor="text1"/>
          <w:spacing w:val="-5"/>
        </w:rPr>
      </w:pPr>
      <w:r>
        <w:rPr>
          <w:rFonts w:hint="eastAsia" w:ascii="宋体" w:hAnsi="宋体" w:cs="宋体"/>
          <w:color w:val="000000" w:themeColor="text1"/>
          <w:spacing w:val="-5"/>
        </w:rPr>
        <w:t>无弄虚作假，无围标串标行为。</w:t>
      </w:r>
    </w:p>
    <w:p w14:paraId="16F25746">
      <w:pPr>
        <w:numPr>
          <w:ilvl w:val="0"/>
          <w:numId w:val="1"/>
        </w:numPr>
        <w:spacing w:line="560" w:lineRule="exact"/>
        <w:ind w:firstLine="400" w:firstLineChars="200"/>
        <w:rPr>
          <w:rFonts w:ascii="宋体" w:hAnsi="宋体" w:cs="宋体"/>
          <w:color w:val="000000" w:themeColor="text1"/>
          <w:spacing w:val="-5"/>
        </w:rPr>
      </w:pPr>
      <w:r>
        <w:rPr>
          <w:rFonts w:hint="eastAsia" w:ascii="宋体" w:hAnsi="宋体" w:cs="宋体"/>
          <w:color w:val="000000" w:themeColor="text1"/>
          <w:spacing w:val="-5"/>
        </w:rPr>
        <w:t>若我方中标，在合同履行过程中严格执行有关法律、法规、规章和规范性文件的规定，不转包和违法分包。</w:t>
      </w:r>
    </w:p>
    <w:p w14:paraId="0A1A00CD">
      <w:pPr>
        <w:numPr>
          <w:ilvl w:val="0"/>
          <w:numId w:val="1"/>
        </w:numPr>
        <w:spacing w:line="560" w:lineRule="exact"/>
        <w:ind w:firstLine="400" w:firstLineChars="200"/>
        <w:jc w:val="left"/>
        <w:rPr>
          <w:rFonts w:ascii="宋体" w:hAnsi="宋体" w:cs="宋体"/>
          <w:color w:val="000000" w:themeColor="text1"/>
          <w:spacing w:val="-5"/>
        </w:rPr>
      </w:pPr>
      <w:r>
        <w:rPr>
          <w:rFonts w:hint="eastAsia" w:ascii="宋体" w:hAnsi="宋体" w:cs="宋体"/>
          <w:color w:val="000000" w:themeColor="text1"/>
          <w:spacing w:val="-5"/>
        </w:rPr>
        <w:t>我方如有违背承诺，愿意接受招标人和主要主管部门依法进行的处罚。</w:t>
      </w:r>
    </w:p>
    <w:p w14:paraId="15775BB0">
      <w:pPr>
        <w:spacing w:line="560" w:lineRule="exact"/>
        <w:jc w:val="left"/>
        <w:rPr>
          <w:rFonts w:ascii="宋体" w:hAnsi="宋体" w:cs="宋体"/>
          <w:color w:val="000000" w:themeColor="text1"/>
          <w:spacing w:val="-5"/>
        </w:rPr>
      </w:pPr>
    </w:p>
    <w:p w14:paraId="55AF130A">
      <w:pPr>
        <w:spacing w:line="560" w:lineRule="exact"/>
        <w:jc w:val="left"/>
        <w:rPr>
          <w:rFonts w:ascii="宋体" w:hAnsi="宋体" w:cs="宋体"/>
          <w:color w:val="000000" w:themeColor="text1"/>
          <w:spacing w:val="-5"/>
        </w:rPr>
      </w:pPr>
    </w:p>
    <w:p w14:paraId="4C88F575">
      <w:pPr>
        <w:spacing w:line="560" w:lineRule="exact"/>
        <w:jc w:val="left"/>
        <w:rPr>
          <w:rFonts w:ascii="宋体" w:hAnsi="宋体" w:cs="宋体"/>
          <w:color w:val="000000" w:themeColor="text1"/>
          <w:spacing w:val="-5"/>
        </w:rPr>
      </w:pPr>
    </w:p>
    <w:p w14:paraId="3D61B328">
      <w:pPr>
        <w:snapToGrid w:val="0"/>
        <w:spacing w:line="360" w:lineRule="auto"/>
        <w:ind w:firstLine="3794" w:firstLineChars="1807"/>
        <w:rPr>
          <w:rFonts w:ascii="宋体"/>
          <w:color w:val="000000" w:themeColor="text1"/>
        </w:rPr>
      </w:pPr>
      <w:r>
        <w:rPr>
          <w:rFonts w:hint="eastAsia" w:ascii="宋体" w:hAnsi="宋体" w:cs="宋体"/>
          <w:color w:val="000000" w:themeColor="text1"/>
        </w:rPr>
        <w:t>承诺人：</w:t>
      </w:r>
      <w:r>
        <w:rPr>
          <w:rFonts w:hint="eastAsia" w:ascii="宋体" w:hAnsi="宋体" w:cs="宋体"/>
          <w:color w:val="000000" w:themeColor="text1"/>
          <w:u w:val="single"/>
        </w:rPr>
        <w:t>（盖单位公章）</w:t>
      </w:r>
    </w:p>
    <w:p w14:paraId="482960E0">
      <w:pPr>
        <w:snapToGrid w:val="0"/>
        <w:spacing w:line="360" w:lineRule="auto"/>
        <w:ind w:firstLine="3689" w:firstLineChars="1757"/>
        <w:rPr>
          <w:rFonts w:ascii="宋体"/>
          <w:color w:val="000000" w:themeColor="text1"/>
        </w:rPr>
      </w:pPr>
      <w:r>
        <w:rPr>
          <w:rFonts w:hint="eastAsia" w:ascii="宋体" w:hAnsi="宋体" w:cs="宋体"/>
          <w:color w:val="000000" w:themeColor="text1"/>
        </w:rPr>
        <w:t>承诺人法定代表人：</w:t>
      </w:r>
      <w:r>
        <w:rPr>
          <w:rFonts w:hint="eastAsia" w:ascii="Arial" w:hAnsi="Arial" w:cs="宋体"/>
          <w:color w:val="000000" w:themeColor="text1"/>
          <w:u w:val="single"/>
        </w:rPr>
        <w:t>（亲笔签名或盖章）</w:t>
      </w:r>
    </w:p>
    <w:p w14:paraId="592DA6ED">
      <w:pPr>
        <w:spacing w:line="440" w:lineRule="exact"/>
        <w:jc w:val="right"/>
        <w:rPr>
          <w:rFonts w:ascii="宋体" w:hAnsi="宋体"/>
          <w:color w:val="000000" w:themeColor="text1"/>
        </w:rPr>
      </w:pPr>
      <w:r>
        <w:rPr>
          <w:rFonts w:hint="eastAsia" w:ascii="宋体" w:hAnsi="宋体"/>
          <w:color w:val="000000" w:themeColor="text1"/>
        </w:rPr>
        <w:t>日期：年月</w:t>
      </w:r>
      <w:r>
        <w:rPr>
          <w:rFonts w:ascii="宋体" w:hAnsi="宋体"/>
          <w:color w:val="000000" w:themeColor="text1"/>
        </w:rPr>
        <w:t>日</w:t>
      </w:r>
    </w:p>
    <w:p w14:paraId="3CB29FCB">
      <w:pPr>
        <w:spacing w:line="560" w:lineRule="exact"/>
        <w:jc w:val="left"/>
        <w:rPr>
          <w:rFonts w:ascii="宋体" w:hAnsi="宋体" w:cs="宋体"/>
          <w:color w:val="000000" w:themeColor="text1"/>
          <w:spacing w:val="-5"/>
        </w:rPr>
      </w:pPr>
    </w:p>
    <w:p w14:paraId="4648C853">
      <w:pPr>
        <w:spacing w:line="560" w:lineRule="exact"/>
        <w:jc w:val="left"/>
        <w:rPr>
          <w:rFonts w:ascii="宋体" w:hAnsi="宋体" w:cs="宋体"/>
          <w:color w:val="000000" w:themeColor="text1"/>
          <w:spacing w:val="-5"/>
        </w:rPr>
      </w:pPr>
    </w:p>
    <w:p w14:paraId="46CCD399">
      <w:pPr>
        <w:spacing w:line="560" w:lineRule="exact"/>
        <w:jc w:val="left"/>
        <w:rPr>
          <w:rFonts w:ascii="宋体" w:hAnsi="宋体" w:cs="宋体"/>
          <w:color w:val="000000" w:themeColor="text1"/>
          <w:spacing w:val="-5"/>
        </w:rPr>
      </w:pPr>
    </w:p>
    <w:p w14:paraId="5C209956">
      <w:pPr>
        <w:spacing w:line="560" w:lineRule="exact"/>
        <w:jc w:val="left"/>
        <w:rPr>
          <w:rFonts w:ascii="宋体" w:hAnsi="宋体" w:cs="宋体"/>
          <w:color w:val="000000" w:themeColor="text1"/>
          <w:spacing w:val="-5"/>
        </w:rPr>
      </w:pPr>
    </w:p>
    <w:p w14:paraId="6A22E61F">
      <w:pPr>
        <w:spacing w:line="560" w:lineRule="exact"/>
        <w:jc w:val="left"/>
        <w:rPr>
          <w:rFonts w:ascii="宋体" w:hAnsi="宋体" w:cs="宋体"/>
          <w:color w:val="000000" w:themeColor="text1"/>
          <w:spacing w:val="-5"/>
        </w:rPr>
      </w:pPr>
    </w:p>
    <w:p w14:paraId="6D0CBA95">
      <w:pPr>
        <w:spacing w:line="560" w:lineRule="exact"/>
        <w:jc w:val="left"/>
        <w:rPr>
          <w:rFonts w:ascii="宋体" w:hAnsi="宋体" w:cs="宋体"/>
          <w:color w:val="000000" w:themeColor="text1"/>
          <w:spacing w:val="-5"/>
        </w:rPr>
      </w:pPr>
    </w:p>
    <w:p w14:paraId="3799BCE5">
      <w:pPr>
        <w:spacing w:line="560" w:lineRule="exact"/>
        <w:jc w:val="left"/>
        <w:rPr>
          <w:rFonts w:ascii="宋体" w:hAnsi="宋体" w:cs="宋体"/>
          <w:color w:val="000000" w:themeColor="text1"/>
          <w:spacing w:val="-5"/>
        </w:rPr>
      </w:pPr>
    </w:p>
    <w:p w14:paraId="5BBFA4DB">
      <w:pPr>
        <w:spacing w:line="560" w:lineRule="exact"/>
        <w:jc w:val="left"/>
        <w:rPr>
          <w:rFonts w:ascii="宋体" w:hAnsi="宋体" w:cs="宋体"/>
          <w:color w:val="000000" w:themeColor="text1"/>
          <w:spacing w:val="-5"/>
        </w:rPr>
      </w:pPr>
    </w:p>
    <w:p w14:paraId="52E15D6A">
      <w:pPr>
        <w:widowControl/>
        <w:jc w:val="left"/>
        <w:rPr>
          <w:rFonts w:ascii="宋体" w:hAnsi="宋体"/>
          <w:b/>
          <w:color w:val="000000" w:themeColor="text1"/>
          <w:sz w:val="30"/>
          <w:szCs w:val="30"/>
        </w:rPr>
      </w:pPr>
      <w:r>
        <w:rPr>
          <w:rFonts w:ascii="宋体" w:hAnsi="宋体"/>
          <w:b/>
          <w:color w:val="000000" w:themeColor="text1"/>
          <w:sz w:val="30"/>
          <w:szCs w:val="30"/>
        </w:rPr>
        <w:br w:type="page"/>
      </w:r>
    </w:p>
    <w:p w14:paraId="443A921E">
      <w:pPr>
        <w:spacing w:line="400" w:lineRule="exact"/>
        <w:jc w:val="center"/>
        <w:rPr>
          <w:rFonts w:ascii="宋体" w:hAnsi="宋体"/>
          <w:b/>
          <w:bCs/>
          <w:color w:val="000000" w:themeColor="text1"/>
          <w:sz w:val="32"/>
          <w:szCs w:val="20"/>
        </w:rPr>
      </w:pPr>
    </w:p>
    <w:p w14:paraId="2E78D980">
      <w:pPr>
        <w:pStyle w:val="252"/>
        <w:spacing w:before="120" w:beforeLines="50" w:after="120" w:afterLines="50" w:line="360" w:lineRule="auto"/>
        <w:rPr>
          <w:rFonts w:ascii="宋体" w:hAnsi="宋体"/>
          <w:color w:val="000000" w:themeColor="text1"/>
          <w:sz w:val="24"/>
        </w:rPr>
      </w:pPr>
      <w:r>
        <w:rPr>
          <w:rFonts w:hint="eastAsia" w:ascii="宋体" w:hAnsi="宋体"/>
          <w:color w:val="000000" w:themeColor="text1"/>
          <w:sz w:val="24"/>
        </w:rPr>
        <w:t>6、投标人认为有必要提交给评标委员会的其他材料</w:t>
      </w:r>
    </w:p>
    <w:bookmarkEnd w:id="415"/>
    <w:bookmarkEnd w:id="416"/>
    <w:bookmarkEnd w:id="417"/>
    <w:p w14:paraId="130E6827">
      <w:pPr>
        <w:jc w:val="center"/>
        <w:rPr>
          <w:color w:val="000000" w:themeColor="text1"/>
          <w:sz w:val="48"/>
          <w:szCs w:val="48"/>
        </w:rPr>
      </w:pPr>
    </w:p>
    <w:p w14:paraId="21017ACD">
      <w:pPr>
        <w:jc w:val="center"/>
        <w:rPr>
          <w:color w:val="000000" w:themeColor="text1"/>
          <w:sz w:val="48"/>
          <w:szCs w:val="48"/>
        </w:rPr>
      </w:pPr>
    </w:p>
    <w:p w14:paraId="0EC3D800">
      <w:pPr>
        <w:jc w:val="center"/>
        <w:rPr>
          <w:color w:val="000000" w:themeColor="text1"/>
          <w:sz w:val="48"/>
          <w:szCs w:val="48"/>
        </w:rPr>
      </w:pPr>
    </w:p>
    <w:p w14:paraId="1A7680D6">
      <w:pPr>
        <w:jc w:val="center"/>
        <w:rPr>
          <w:color w:val="000000" w:themeColor="text1"/>
          <w:sz w:val="48"/>
          <w:szCs w:val="48"/>
        </w:rPr>
      </w:pPr>
    </w:p>
    <w:p w14:paraId="0BC2A3B1">
      <w:pPr>
        <w:jc w:val="center"/>
        <w:rPr>
          <w:color w:val="000000" w:themeColor="text1"/>
          <w:sz w:val="48"/>
          <w:szCs w:val="48"/>
        </w:rPr>
      </w:pPr>
    </w:p>
    <w:p w14:paraId="0D7E2AAF">
      <w:pPr>
        <w:jc w:val="center"/>
        <w:rPr>
          <w:color w:val="000000" w:themeColor="text1"/>
          <w:sz w:val="48"/>
          <w:szCs w:val="48"/>
        </w:rPr>
      </w:pPr>
    </w:p>
    <w:p w14:paraId="67ECBD04">
      <w:pPr>
        <w:jc w:val="center"/>
        <w:rPr>
          <w:color w:val="000000" w:themeColor="text1"/>
          <w:sz w:val="48"/>
          <w:szCs w:val="48"/>
        </w:rPr>
      </w:pPr>
    </w:p>
    <w:p w14:paraId="14330997">
      <w:pPr>
        <w:jc w:val="center"/>
        <w:rPr>
          <w:color w:val="000000" w:themeColor="text1"/>
          <w:sz w:val="48"/>
          <w:szCs w:val="48"/>
        </w:rPr>
      </w:pPr>
    </w:p>
    <w:p w14:paraId="6E10AC04">
      <w:pPr>
        <w:jc w:val="center"/>
        <w:rPr>
          <w:color w:val="000000" w:themeColor="text1"/>
          <w:sz w:val="48"/>
          <w:szCs w:val="48"/>
        </w:rPr>
      </w:pPr>
    </w:p>
    <w:p w14:paraId="59FA356A">
      <w:pPr>
        <w:jc w:val="center"/>
        <w:rPr>
          <w:color w:val="000000" w:themeColor="text1"/>
          <w:sz w:val="48"/>
          <w:szCs w:val="48"/>
        </w:rPr>
      </w:pPr>
    </w:p>
    <w:p w14:paraId="1D72A0BC">
      <w:pPr>
        <w:jc w:val="center"/>
        <w:rPr>
          <w:color w:val="000000" w:themeColor="text1"/>
          <w:sz w:val="48"/>
          <w:szCs w:val="48"/>
        </w:rPr>
      </w:pPr>
    </w:p>
    <w:p w14:paraId="4F957E5B">
      <w:pPr>
        <w:jc w:val="center"/>
        <w:rPr>
          <w:color w:val="000000" w:themeColor="text1"/>
          <w:sz w:val="48"/>
          <w:szCs w:val="48"/>
        </w:rPr>
      </w:pPr>
    </w:p>
    <w:p w14:paraId="2B5A9A1D">
      <w:pPr>
        <w:jc w:val="center"/>
        <w:rPr>
          <w:color w:val="000000" w:themeColor="text1"/>
          <w:sz w:val="48"/>
          <w:szCs w:val="48"/>
        </w:rPr>
      </w:pPr>
    </w:p>
    <w:p w14:paraId="0E9928DC">
      <w:pPr>
        <w:jc w:val="center"/>
        <w:rPr>
          <w:color w:val="000000" w:themeColor="text1"/>
          <w:sz w:val="48"/>
          <w:szCs w:val="48"/>
        </w:rPr>
      </w:pPr>
    </w:p>
    <w:p w14:paraId="373AA765">
      <w:pPr>
        <w:jc w:val="center"/>
        <w:rPr>
          <w:color w:val="000000" w:themeColor="text1"/>
          <w:sz w:val="48"/>
          <w:szCs w:val="48"/>
        </w:rPr>
      </w:pPr>
    </w:p>
    <w:p w14:paraId="56632FA5">
      <w:pPr>
        <w:jc w:val="center"/>
        <w:rPr>
          <w:color w:val="000000" w:themeColor="text1"/>
          <w:sz w:val="48"/>
          <w:szCs w:val="48"/>
        </w:rPr>
      </w:pPr>
    </w:p>
    <w:p w14:paraId="1A1FBFAA">
      <w:pPr>
        <w:jc w:val="center"/>
        <w:rPr>
          <w:color w:val="000000" w:themeColor="text1"/>
          <w:sz w:val="48"/>
          <w:szCs w:val="48"/>
        </w:rPr>
      </w:pPr>
    </w:p>
    <w:p w14:paraId="1EF0F736">
      <w:pPr>
        <w:jc w:val="center"/>
        <w:rPr>
          <w:color w:val="000000" w:themeColor="text1"/>
          <w:sz w:val="48"/>
          <w:szCs w:val="48"/>
        </w:rPr>
      </w:pPr>
    </w:p>
    <w:p w14:paraId="0DB77CA8">
      <w:pPr>
        <w:jc w:val="center"/>
        <w:rPr>
          <w:color w:val="000000" w:themeColor="text1"/>
          <w:sz w:val="48"/>
          <w:szCs w:val="48"/>
        </w:rPr>
      </w:pPr>
    </w:p>
    <w:p w14:paraId="3AE3D26B">
      <w:pPr>
        <w:jc w:val="center"/>
        <w:rPr>
          <w:color w:val="000000" w:themeColor="text1"/>
          <w:sz w:val="48"/>
          <w:szCs w:val="48"/>
        </w:rPr>
      </w:pPr>
    </w:p>
    <w:p w14:paraId="2559692D">
      <w:pPr>
        <w:jc w:val="center"/>
        <w:rPr>
          <w:color w:val="000000" w:themeColor="text1"/>
          <w:sz w:val="48"/>
          <w:szCs w:val="48"/>
        </w:rPr>
      </w:pPr>
    </w:p>
    <w:p w14:paraId="67106BFF">
      <w:pPr>
        <w:jc w:val="center"/>
        <w:rPr>
          <w:color w:val="000000" w:themeColor="text1"/>
          <w:sz w:val="48"/>
          <w:szCs w:val="48"/>
        </w:rPr>
      </w:pPr>
    </w:p>
    <w:p w14:paraId="5400876B">
      <w:pPr>
        <w:widowControl/>
        <w:jc w:val="left"/>
        <w:rPr>
          <w:rFonts w:cs="宋体"/>
          <w:b/>
          <w:bCs/>
          <w:color w:val="000000" w:themeColor="text1"/>
          <w:sz w:val="32"/>
          <w:szCs w:val="32"/>
        </w:rPr>
      </w:pPr>
      <w:bookmarkStart w:id="423" w:name="_Toc20204"/>
      <w:r>
        <w:rPr>
          <w:rFonts w:cs="宋体"/>
          <w:b/>
          <w:bCs/>
          <w:color w:val="000000" w:themeColor="text1"/>
          <w:sz w:val="32"/>
          <w:szCs w:val="32"/>
        </w:rPr>
        <w:br w:type="page"/>
      </w:r>
    </w:p>
    <w:p w14:paraId="645ABD5B">
      <w:pPr>
        <w:spacing w:line="400" w:lineRule="exact"/>
        <w:outlineLvl w:val="0"/>
        <w:rPr>
          <w:color w:val="000000" w:themeColor="text1"/>
        </w:rPr>
      </w:pPr>
      <w:r>
        <w:rPr>
          <w:rFonts w:hint="eastAsia" w:cs="宋体"/>
          <w:b/>
          <w:bCs/>
          <w:color w:val="000000" w:themeColor="text1"/>
          <w:sz w:val="32"/>
          <w:szCs w:val="32"/>
        </w:rPr>
        <w:t>第二个信封封面格式</w:t>
      </w:r>
      <w:bookmarkEnd w:id="423"/>
    </w:p>
    <w:p w14:paraId="6816A4CC">
      <w:pPr>
        <w:jc w:val="center"/>
        <w:rPr>
          <w:color w:val="000000" w:themeColor="text1"/>
          <w:sz w:val="28"/>
          <w:szCs w:val="28"/>
        </w:rPr>
      </w:pPr>
    </w:p>
    <w:p w14:paraId="1FC39B62">
      <w:pPr>
        <w:jc w:val="center"/>
        <w:outlineLvl w:val="0"/>
        <w:rPr>
          <w:color w:val="000000" w:themeColor="text1"/>
          <w:u w:val="single"/>
        </w:rPr>
      </w:pPr>
      <w:r>
        <w:rPr>
          <w:rFonts w:hint="eastAsia" w:cs="黑体"/>
          <w:color w:val="000000" w:themeColor="text1"/>
          <w:sz w:val="44"/>
          <w:szCs w:val="44"/>
        </w:rPr>
        <w:t>南通市港航事业发展中心海门分中心房屋修缮工程</w:t>
      </w:r>
    </w:p>
    <w:p w14:paraId="31A1675B">
      <w:pPr>
        <w:jc w:val="center"/>
        <w:rPr>
          <w:color w:val="000000" w:themeColor="text1"/>
          <w:sz w:val="44"/>
          <w:szCs w:val="44"/>
        </w:rPr>
      </w:pPr>
    </w:p>
    <w:p w14:paraId="147E7FBA">
      <w:pPr>
        <w:rPr>
          <w:color w:val="000000" w:themeColor="text1"/>
          <w:sz w:val="20"/>
          <w:szCs w:val="20"/>
        </w:rPr>
      </w:pPr>
    </w:p>
    <w:p w14:paraId="521B30EF">
      <w:pPr>
        <w:rPr>
          <w:color w:val="000000" w:themeColor="text1"/>
          <w:sz w:val="20"/>
          <w:szCs w:val="20"/>
        </w:rPr>
      </w:pPr>
    </w:p>
    <w:p w14:paraId="1BA6FC1E">
      <w:pPr>
        <w:rPr>
          <w:color w:val="000000" w:themeColor="text1"/>
          <w:sz w:val="20"/>
          <w:szCs w:val="20"/>
        </w:rPr>
      </w:pPr>
    </w:p>
    <w:p w14:paraId="23BF6DEF">
      <w:pPr>
        <w:jc w:val="center"/>
        <w:rPr>
          <w:color w:val="000000" w:themeColor="text1"/>
          <w:sz w:val="52"/>
          <w:szCs w:val="52"/>
        </w:rPr>
      </w:pPr>
    </w:p>
    <w:p w14:paraId="762A63E5">
      <w:pPr>
        <w:jc w:val="center"/>
        <w:rPr>
          <w:color w:val="000000" w:themeColor="text1"/>
          <w:sz w:val="52"/>
          <w:szCs w:val="52"/>
        </w:rPr>
      </w:pPr>
    </w:p>
    <w:p w14:paraId="53E49D48">
      <w:pPr>
        <w:jc w:val="center"/>
        <w:outlineLvl w:val="0"/>
        <w:rPr>
          <w:color w:val="000000" w:themeColor="text1"/>
          <w:sz w:val="72"/>
          <w:szCs w:val="72"/>
        </w:rPr>
      </w:pPr>
      <w:bookmarkStart w:id="424" w:name="_Toc924"/>
      <w:r>
        <w:rPr>
          <w:rFonts w:hint="eastAsia" w:cs="宋体"/>
          <w:color w:val="000000" w:themeColor="text1"/>
          <w:sz w:val="72"/>
          <w:szCs w:val="72"/>
        </w:rPr>
        <w:t>投标文件</w:t>
      </w:r>
      <w:bookmarkEnd w:id="424"/>
    </w:p>
    <w:p w14:paraId="1F97EF0D">
      <w:pPr>
        <w:ind w:right="18"/>
        <w:jc w:val="center"/>
        <w:rPr>
          <w:b/>
          <w:bCs/>
          <w:color w:val="000000" w:themeColor="text1"/>
          <w:sz w:val="44"/>
          <w:szCs w:val="44"/>
        </w:rPr>
      </w:pPr>
    </w:p>
    <w:p w14:paraId="0DBE5C4A">
      <w:pPr>
        <w:ind w:right="18"/>
        <w:jc w:val="center"/>
        <w:outlineLvl w:val="1"/>
        <w:rPr>
          <w:b/>
          <w:bCs/>
          <w:color w:val="000000" w:themeColor="text1"/>
          <w:sz w:val="44"/>
          <w:szCs w:val="44"/>
        </w:rPr>
      </w:pPr>
      <w:bookmarkStart w:id="425" w:name="_Toc365358516"/>
      <w:bookmarkStart w:id="426" w:name="_Toc362333683"/>
      <w:bookmarkStart w:id="427" w:name="_Toc350188287"/>
      <w:bookmarkStart w:id="428" w:name="_Toc291352487"/>
      <w:r>
        <w:rPr>
          <w:rFonts w:hint="eastAsia" w:cs="宋体"/>
          <w:b/>
          <w:bCs/>
          <w:color w:val="000000" w:themeColor="text1"/>
          <w:sz w:val="44"/>
          <w:szCs w:val="44"/>
        </w:rPr>
        <w:t>（第二个信封</w:t>
      </w:r>
      <w:bookmarkEnd w:id="425"/>
      <w:bookmarkEnd w:id="426"/>
      <w:bookmarkEnd w:id="427"/>
      <w:bookmarkEnd w:id="428"/>
      <w:r>
        <w:rPr>
          <w:rFonts w:hint="eastAsia" w:cs="宋体"/>
          <w:b/>
          <w:bCs/>
          <w:color w:val="000000" w:themeColor="text1"/>
          <w:sz w:val="44"/>
          <w:szCs w:val="44"/>
        </w:rPr>
        <w:t>报价文件）</w:t>
      </w:r>
    </w:p>
    <w:p w14:paraId="13161BF9">
      <w:pPr>
        <w:rPr>
          <w:color w:val="000000" w:themeColor="text1"/>
          <w:sz w:val="28"/>
          <w:szCs w:val="28"/>
        </w:rPr>
      </w:pPr>
    </w:p>
    <w:p w14:paraId="28F8EF9D">
      <w:pPr>
        <w:rPr>
          <w:color w:val="000000" w:themeColor="text1"/>
          <w:sz w:val="28"/>
          <w:szCs w:val="28"/>
        </w:rPr>
      </w:pPr>
    </w:p>
    <w:p w14:paraId="39583C78">
      <w:pPr>
        <w:rPr>
          <w:color w:val="000000" w:themeColor="text1"/>
          <w:sz w:val="28"/>
          <w:szCs w:val="28"/>
        </w:rPr>
      </w:pPr>
    </w:p>
    <w:p w14:paraId="59D92876">
      <w:pPr>
        <w:rPr>
          <w:color w:val="000000" w:themeColor="text1"/>
          <w:sz w:val="28"/>
          <w:szCs w:val="28"/>
        </w:rPr>
      </w:pPr>
    </w:p>
    <w:p w14:paraId="3FCD603B">
      <w:pPr>
        <w:rPr>
          <w:color w:val="000000" w:themeColor="text1"/>
          <w:sz w:val="28"/>
          <w:szCs w:val="28"/>
        </w:rPr>
      </w:pPr>
    </w:p>
    <w:p w14:paraId="5FC41927">
      <w:pPr>
        <w:rPr>
          <w:color w:val="000000" w:themeColor="text1"/>
          <w:sz w:val="28"/>
          <w:szCs w:val="28"/>
        </w:rPr>
      </w:pPr>
    </w:p>
    <w:p w14:paraId="3E55A99D">
      <w:pPr>
        <w:rPr>
          <w:color w:val="000000" w:themeColor="text1"/>
          <w:sz w:val="28"/>
          <w:szCs w:val="28"/>
        </w:rPr>
      </w:pPr>
    </w:p>
    <w:p w14:paraId="4FBC1447">
      <w:pPr>
        <w:rPr>
          <w:color w:val="000000" w:themeColor="text1"/>
          <w:sz w:val="28"/>
          <w:szCs w:val="28"/>
        </w:rPr>
      </w:pPr>
    </w:p>
    <w:p w14:paraId="5FF2D551">
      <w:pPr>
        <w:rPr>
          <w:color w:val="000000" w:themeColor="text1"/>
          <w:sz w:val="28"/>
          <w:szCs w:val="28"/>
        </w:rPr>
      </w:pPr>
    </w:p>
    <w:p w14:paraId="2DA308D2">
      <w:pPr>
        <w:rPr>
          <w:color w:val="000000" w:themeColor="text1"/>
          <w:sz w:val="28"/>
          <w:szCs w:val="28"/>
        </w:rPr>
      </w:pPr>
    </w:p>
    <w:p w14:paraId="398EEC86">
      <w:pPr>
        <w:rPr>
          <w:color w:val="000000" w:themeColor="text1"/>
          <w:sz w:val="28"/>
          <w:szCs w:val="28"/>
        </w:rPr>
      </w:pPr>
    </w:p>
    <w:p w14:paraId="62479942">
      <w:pPr>
        <w:rPr>
          <w:color w:val="000000" w:themeColor="text1"/>
          <w:sz w:val="28"/>
          <w:szCs w:val="28"/>
        </w:rPr>
      </w:pPr>
    </w:p>
    <w:p w14:paraId="0611F02E">
      <w:pPr>
        <w:ind w:firstLine="1818" w:firstLineChars="505"/>
        <w:outlineLvl w:val="0"/>
        <w:rPr>
          <w:color w:val="000000" w:themeColor="text1"/>
          <w:sz w:val="36"/>
          <w:szCs w:val="36"/>
        </w:rPr>
      </w:pPr>
      <w:bookmarkStart w:id="429" w:name="_Toc29624"/>
      <w:r>
        <w:rPr>
          <w:rFonts w:hint="eastAsia" w:cs="宋体"/>
          <w:color w:val="000000" w:themeColor="text1"/>
          <w:sz w:val="36"/>
          <w:szCs w:val="36"/>
        </w:rPr>
        <w:t>投标人：</w:t>
      </w:r>
      <w:bookmarkEnd w:id="429"/>
    </w:p>
    <w:p w14:paraId="5095D001">
      <w:pPr>
        <w:jc w:val="center"/>
        <w:outlineLvl w:val="0"/>
        <w:rPr>
          <w:color w:val="000000" w:themeColor="text1"/>
          <w:sz w:val="36"/>
          <w:szCs w:val="36"/>
        </w:rPr>
      </w:pPr>
      <w:bookmarkStart w:id="430" w:name="_Toc28656"/>
      <w:r>
        <w:rPr>
          <w:rFonts w:hint="eastAsia" w:cs="宋体"/>
          <w:color w:val="000000" w:themeColor="text1"/>
          <w:sz w:val="36"/>
          <w:szCs w:val="36"/>
        </w:rPr>
        <w:t>年月日</w:t>
      </w:r>
      <w:bookmarkEnd w:id="430"/>
    </w:p>
    <w:p w14:paraId="0DAF2E77">
      <w:pPr>
        <w:spacing w:line="400" w:lineRule="exact"/>
        <w:jc w:val="center"/>
        <w:rPr>
          <w:color w:val="000000" w:themeColor="text1"/>
        </w:rPr>
      </w:pPr>
      <w:r>
        <w:rPr>
          <w:color w:val="000000" w:themeColor="text1"/>
        </w:rPr>
        <w:br w:type="page"/>
      </w:r>
    </w:p>
    <w:p w14:paraId="11177D1A">
      <w:pPr>
        <w:ind w:left="-3" w:leftChars="-405" w:hanging="847" w:hangingChars="211"/>
        <w:jc w:val="center"/>
        <w:outlineLvl w:val="0"/>
        <w:rPr>
          <w:b/>
          <w:bCs/>
          <w:color w:val="000000" w:themeColor="text1"/>
          <w:sz w:val="40"/>
          <w:szCs w:val="40"/>
        </w:rPr>
      </w:pPr>
      <w:bookmarkStart w:id="431" w:name="_Toc8468"/>
      <w:r>
        <w:rPr>
          <w:rFonts w:hint="eastAsia" w:cs="宋体"/>
          <w:b/>
          <w:bCs/>
          <w:color w:val="000000" w:themeColor="text1"/>
          <w:sz w:val="40"/>
          <w:szCs w:val="40"/>
        </w:rPr>
        <w:t>目录</w:t>
      </w:r>
      <w:bookmarkEnd w:id="431"/>
    </w:p>
    <w:p w14:paraId="705ABD43">
      <w:pPr>
        <w:rPr>
          <w:b/>
          <w:bCs/>
          <w:color w:val="000000" w:themeColor="text1"/>
          <w:sz w:val="24"/>
          <w:szCs w:val="24"/>
        </w:rPr>
      </w:pPr>
    </w:p>
    <w:p w14:paraId="498D5142">
      <w:pPr>
        <w:pStyle w:val="128"/>
        <w:spacing w:before="120" w:after="120"/>
        <w:ind w:left="1680" w:leftChars="800" w:firstLine="959" w:firstLineChars="398"/>
        <w:rPr>
          <w:b/>
          <w:bCs/>
          <w:color w:val="000000" w:themeColor="text1"/>
          <w:sz w:val="24"/>
          <w:szCs w:val="24"/>
        </w:rPr>
      </w:pPr>
      <w:bookmarkStart w:id="432" w:name="_Toc243736133"/>
    </w:p>
    <w:p w14:paraId="435A8384">
      <w:pPr>
        <w:pStyle w:val="128"/>
        <w:spacing w:before="120" w:after="120"/>
        <w:ind w:firstLine="1673" w:firstLineChars="595"/>
        <w:outlineLvl w:val="0"/>
        <w:rPr>
          <w:b/>
          <w:bCs/>
          <w:color w:val="000000" w:themeColor="text1"/>
          <w:sz w:val="28"/>
          <w:szCs w:val="28"/>
        </w:rPr>
      </w:pPr>
      <w:bookmarkStart w:id="433" w:name="_Toc14836"/>
      <w:r>
        <w:rPr>
          <w:rFonts w:hint="eastAsia" w:cs="宋体"/>
          <w:b/>
          <w:bCs/>
          <w:color w:val="000000" w:themeColor="text1"/>
          <w:sz w:val="28"/>
          <w:szCs w:val="28"/>
        </w:rPr>
        <w:t>一、投标函</w:t>
      </w:r>
      <w:bookmarkEnd w:id="433"/>
    </w:p>
    <w:p w14:paraId="1E5D2AFC">
      <w:pPr>
        <w:pStyle w:val="128"/>
        <w:spacing w:before="120" w:after="120"/>
        <w:ind w:firstLine="1673" w:firstLineChars="595"/>
        <w:outlineLvl w:val="0"/>
        <w:rPr>
          <w:b/>
          <w:bCs/>
          <w:color w:val="000000" w:themeColor="text1"/>
          <w:sz w:val="28"/>
          <w:szCs w:val="28"/>
        </w:rPr>
      </w:pPr>
      <w:bookmarkStart w:id="434" w:name="_Toc20829"/>
      <w:r>
        <w:rPr>
          <w:rFonts w:hint="eastAsia" w:cs="宋体"/>
          <w:b/>
          <w:bCs/>
          <w:color w:val="000000" w:themeColor="text1"/>
          <w:sz w:val="28"/>
          <w:szCs w:val="28"/>
        </w:rPr>
        <w:t>二、已标价工程量清单</w:t>
      </w:r>
      <w:bookmarkEnd w:id="432"/>
      <w:bookmarkEnd w:id="434"/>
    </w:p>
    <w:p w14:paraId="17C0B2FB">
      <w:pPr>
        <w:jc w:val="center"/>
        <w:outlineLvl w:val="0"/>
        <w:rPr>
          <w:rFonts w:cs="宋体"/>
          <w:b/>
          <w:bCs/>
          <w:color w:val="000000" w:themeColor="text1"/>
          <w:sz w:val="30"/>
          <w:szCs w:val="30"/>
        </w:rPr>
      </w:pPr>
      <w:r>
        <w:rPr>
          <w:b/>
          <w:bCs/>
          <w:color w:val="000000" w:themeColor="text1"/>
          <w:sz w:val="30"/>
          <w:szCs w:val="30"/>
        </w:rPr>
        <w:br w:type="page"/>
      </w:r>
      <w:bookmarkStart w:id="435" w:name="_Toc28726"/>
      <w:r>
        <w:rPr>
          <w:rFonts w:hint="eastAsia" w:cs="宋体"/>
          <w:b/>
          <w:bCs/>
          <w:color w:val="000000" w:themeColor="text1"/>
          <w:sz w:val="30"/>
          <w:szCs w:val="30"/>
        </w:rPr>
        <w:t>一、投标函</w:t>
      </w:r>
      <w:bookmarkEnd w:id="435"/>
    </w:p>
    <w:p w14:paraId="426B6ABF">
      <w:pPr>
        <w:jc w:val="center"/>
        <w:outlineLvl w:val="0"/>
        <w:rPr>
          <w:b/>
          <w:bCs/>
          <w:color w:val="000000" w:themeColor="text1"/>
          <w:sz w:val="30"/>
          <w:szCs w:val="30"/>
        </w:rPr>
      </w:pPr>
    </w:p>
    <w:p w14:paraId="7B505539">
      <w:pPr>
        <w:spacing w:line="440" w:lineRule="exact"/>
        <w:rPr>
          <w:rFonts w:ascii="宋体" w:hAnsi="宋体"/>
          <w:color w:val="000000" w:themeColor="text1"/>
          <w:sz w:val="24"/>
          <w:szCs w:val="24"/>
        </w:rPr>
      </w:pPr>
      <w:r>
        <w:rPr>
          <w:rFonts w:ascii="宋体" w:hAnsi="宋体"/>
          <w:color w:val="000000" w:themeColor="text1"/>
          <w:sz w:val="24"/>
          <w:szCs w:val="24"/>
        </w:rPr>
        <w:t>（招标人名称）：</w:t>
      </w:r>
    </w:p>
    <w:p w14:paraId="419635A3">
      <w:pPr>
        <w:spacing w:line="440" w:lineRule="exact"/>
        <w:rPr>
          <w:rFonts w:ascii="宋体" w:hAnsi="宋体"/>
          <w:color w:val="000000" w:themeColor="text1"/>
        </w:rPr>
      </w:pPr>
    </w:p>
    <w:p w14:paraId="463384EB">
      <w:pPr>
        <w:spacing w:line="360" w:lineRule="auto"/>
        <w:ind w:firstLine="480" w:firstLineChars="200"/>
        <w:rPr>
          <w:rFonts w:hAnsi="宋体"/>
          <w:color w:val="000000" w:themeColor="text1"/>
          <w:sz w:val="24"/>
        </w:rPr>
      </w:pPr>
      <w:r>
        <w:rPr>
          <w:rFonts w:hAnsi="宋体"/>
          <w:color w:val="000000" w:themeColor="text1"/>
          <w:sz w:val="24"/>
        </w:rPr>
        <w:t>1</w:t>
      </w:r>
      <w:r>
        <w:rPr>
          <w:rFonts w:hint="eastAsia" w:hAnsi="宋体"/>
          <w:color w:val="000000" w:themeColor="text1"/>
          <w:sz w:val="24"/>
        </w:rPr>
        <w:t>．我方已仔细研究（项目名称）标段施工招标文件的全部内容（含补遗书第</w:t>
      </w:r>
      <w:r>
        <w:rPr>
          <w:rFonts w:hAnsi="宋体"/>
          <w:color w:val="000000" w:themeColor="text1"/>
          <w:sz w:val="24"/>
        </w:rPr>
        <w:t>___</w:t>
      </w:r>
      <w:r>
        <w:rPr>
          <w:rFonts w:hint="eastAsia" w:hAnsi="宋体"/>
          <w:color w:val="000000" w:themeColor="text1"/>
          <w:sz w:val="24"/>
        </w:rPr>
        <w:t>号至第</w:t>
      </w:r>
      <w:r>
        <w:rPr>
          <w:rFonts w:hAnsi="宋体"/>
          <w:color w:val="000000" w:themeColor="text1"/>
          <w:sz w:val="24"/>
        </w:rPr>
        <w:t>___</w:t>
      </w:r>
      <w:r>
        <w:rPr>
          <w:rFonts w:hint="eastAsia" w:hAnsi="宋体"/>
          <w:color w:val="000000" w:themeColor="text1"/>
          <w:sz w:val="24"/>
        </w:rPr>
        <w:t>号），在考察工程现场后，愿意以人民币（大写）元（¥）的投标总报价，按合同约定实施和完成承包工程，修补工程中的任何缺陷。</w:t>
      </w:r>
    </w:p>
    <w:p w14:paraId="569A79FD">
      <w:pPr>
        <w:spacing w:line="360" w:lineRule="auto"/>
        <w:ind w:firstLine="480" w:firstLineChars="200"/>
        <w:rPr>
          <w:rFonts w:hAnsi="宋体"/>
          <w:color w:val="000000" w:themeColor="text1"/>
          <w:sz w:val="24"/>
        </w:rPr>
      </w:pPr>
      <w:r>
        <w:rPr>
          <w:rFonts w:hAnsi="宋体"/>
          <w:color w:val="000000" w:themeColor="text1"/>
          <w:sz w:val="24"/>
        </w:rPr>
        <w:t>2</w:t>
      </w:r>
      <w:r>
        <w:rPr>
          <w:rFonts w:hint="eastAsia" w:hAnsi="宋体"/>
          <w:color w:val="000000" w:themeColor="text1"/>
          <w:sz w:val="24"/>
        </w:rPr>
        <w:t>．在合同协议书正式签署生效之前，本投标函连同你方的中标通知书将构成我们双方之间共同遵守的文件，对双方具有约束力。</w:t>
      </w:r>
    </w:p>
    <w:p w14:paraId="7F472D40">
      <w:pPr>
        <w:spacing w:line="360" w:lineRule="auto"/>
        <w:ind w:firstLine="480" w:firstLineChars="200"/>
        <w:rPr>
          <w:color w:val="000000" w:themeColor="text1"/>
          <w:sz w:val="24"/>
        </w:rPr>
      </w:pPr>
      <w:r>
        <w:rPr>
          <w:rFonts w:hAnsi="宋体"/>
          <w:color w:val="000000" w:themeColor="text1"/>
          <w:sz w:val="24"/>
        </w:rPr>
        <w:t xml:space="preserve"> 3</w:t>
      </w:r>
      <w:r>
        <w:rPr>
          <w:rFonts w:hint="eastAsia" w:hAnsi="宋体"/>
          <w:color w:val="000000" w:themeColor="text1"/>
          <w:sz w:val="24"/>
        </w:rPr>
        <w:t>．（其他补充说明）。</w:t>
      </w:r>
    </w:p>
    <w:p w14:paraId="70820963">
      <w:pPr>
        <w:spacing w:line="360" w:lineRule="auto"/>
        <w:rPr>
          <w:color w:val="000000" w:themeColor="text1"/>
          <w:sz w:val="24"/>
        </w:rPr>
      </w:pPr>
    </w:p>
    <w:p w14:paraId="16837E9E">
      <w:pPr>
        <w:spacing w:line="360" w:lineRule="auto"/>
        <w:jc w:val="right"/>
        <w:rPr>
          <w:color w:val="000000" w:themeColor="text1"/>
          <w:sz w:val="24"/>
        </w:rPr>
      </w:pPr>
      <w:r>
        <w:rPr>
          <w:rFonts w:hAnsi="宋体"/>
          <w:color w:val="000000" w:themeColor="text1"/>
          <w:sz w:val="24"/>
        </w:rPr>
        <w:t>投标人：(盖单位章)</w:t>
      </w:r>
    </w:p>
    <w:p w14:paraId="6886B440">
      <w:pPr>
        <w:spacing w:line="360" w:lineRule="auto"/>
        <w:jc w:val="right"/>
        <w:rPr>
          <w:color w:val="000000" w:themeColor="text1"/>
          <w:sz w:val="24"/>
        </w:rPr>
      </w:pPr>
      <w:r>
        <w:rPr>
          <w:rFonts w:hAnsi="宋体"/>
          <w:color w:val="000000" w:themeColor="text1"/>
          <w:sz w:val="24"/>
        </w:rPr>
        <w:t>法定代表人或委托代理人：(</w:t>
      </w:r>
      <w:r>
        <w:rPr>
          <w:rFonts w:hint="eastAsia" w:hAnsi="宋体"/>
          <w:color w:val="000000" w:themeColor="text1"/>
          <w:sz w:val="24"/>
        </w:rPr>
        <w:t>亲笔签名或</w:t>
      </w:r>
      <w:r>
        <w:rPr>
          <w:rFonts w:hint="eastAsia" w:hAnsi="宋体"/>
          <w:color w:val="000000" w:themeColor="text1"/>
          <w:sz w:val="24"/>
          <w:lang w:val="en-US" w:eastAsia="zh-CN"/>
        </w:rPr>
        <w:t>盖</w:t>
      </w:r>
      <w:r>
        <w:rPr>
          <w:rFonts w:hint="eastAsia" w:hAnsi="宋体"/>
          <w:color w:val="000000" w:themeColor="text1"/>
          <w:sz w:val="24"/>
        </w:rPr>
        <w:t>章</w:t>
      </w:r>
      <w:r>
        <w:rPr>
          <w:rFonts w:hAnsi="宋体"/>
          <w:color w:val="000000" w:themeColor="text1"/>
          <w:sz w:val="24"/>
        </w:rPr>
        <w:t>)</w:t>
      </w:r>
    </w:p>
    <w:p w14:paraId="1DBEDE6B">
      <w:pPr>
        <w:wordWrap w:val="0"/>
        <w:spacing w:line="360" w:lineRule="auto"/>
        <w:jc w:val="right"/>
        <w:rPr>
          <w:color w:val="000000" w:themeColor="text1"/>
          <w:sz w:val="24"/>
          <w:u w:val="single"/>
        </w:rPr>
      </w:pPr>
      <w:r>
        <w:rPr>
          <w:rFonts w:hAnsi="宋体"/>
          <w:color w:val="000000" w:themeColor="text1"/>
          <w:sz w:val="24"/>
        </w:rPr>
        <w:t>地址：</w:t>
      </w:r>
    </w:p>
    <w:p w14:paraId="5BD0C8F4">
      <w:pPr>
        <w:wordWrap w:val="0"/>
        <w:spacing w:line="360" w:lineRule="auto"/>
        <w:jc w:val="right"/>
        <w:rPr>
          <w:color w:val="000000" w:themeColor="text1"/>
          <w:sz w:val="24"/>
          <w:u w:val="single"/>
        </w:rPr>
      </w:pPr>
      <w:r>
        <w:rPr>
          <w:rFonts w:hAnsi="宋体"/>
          <w:color w:val="000000" w:themeColor="text1"/>
          <w:sz w:val="24"/>
        </w:rPr>
        <w:t>网址：</w:t>
      </w:r>
    </w:p>
    <w:p w14:paraId="3DB669AE">
      <w:pPr>
        <w:wordWrap w:val="0"/>
        <w:spacing w:line="360" w:lineRule="auto"/>
        <w:jc w:val="right"/>
        <w:rPr>
          <w:color w:val="000000" w:themeColor="text1"/>
          <w:sz w:val="24"/>
          <w:u w:val="single"/>
        </w:rPr>
      </w:pPr>
      <w:r>
        <w:rPr>
          <w:rFonts w:hAnsi="宋体"/>
          <w:color w:val="000000" w:themeColor="text1"/>
          <w:sz w:val="24"/>
        </w:rPr>
        <w:t>电话：</w:t>
      </w:r>
    </w:p>
    <w:p w14:paraId="60936CE7">
      <w:pPr>
        <w:wordWrap w:val="0"/>
        <w:spacing w:line="360" w:lineRule="auto"/>
        <w:jc w:val="right"/>
        <w:rPr>
          <w:color w:val="000000" w:themeColor="text1"/>
          <w:sz w:val="24"/>
          <w:u w:val="single"/>
        </w:rPr>
      </w:pPr>
      <w:r>
        <w:rPr>
          <w:rFonts w:hAnsi="宋体"/>
          <w:color w:val="000000" w:themeColor="text1"/>
          <w:sz w:val="24"/>
        </w:rPr>
        <w:t>传真：</w:t>
      </w:r>
    </w:p>
    <w:p w14:paraId="2EB1E552">
      <w:pPr>
        <w:wordWrap w:val="0"/>
        <w:spacing w:line="360" w:lineRule="auto"/>
        <w:jc w:val="right"/>
        <w:rPr>
          <w:color w:val="000000" w:themeColor="text1"/>
          <w:sz w:val="24"/>
          <w:u w:val="single"/>
        </w:rPr>
      </w:pPr>
      <w:r>
        <w:rPr>
          <w:rFonts w:hint="eastAsia" w:hAnsi="宋体"/>
          <w:color w:val="000000" w:themeColor="text1"/>
          <w:sz w:val="24"/>
        </w:rPr>
        <w:t>邮政编码</w:t>
      </w:r>
      <w:r>
        <w:rPr>
          <w:rFonts w:hAnsi="宋体"/>
          <w:color w:val="000000" w:themeColor="text1"/>
          <w:sz w:val="24"/>
        </w:rPr>
        <w:t>：</w:t>
      </w:r>
    </w:p>
    <w:p w14:paraId="1AC6BE34">
      <w:pPr>
        <w:wordWrap w:val="0"/>
        <w:spacing w:line="420" w:lineRule="exact"/>
        <w:ind w:firstLine="4320" w:firstLineChars="1800"/>
        <w:rPr>
          <w:rFonts w:ascii="宋体" w:hAnsi="宋体"/>
          <w:b/>
          <w:color w:val="000000" w:themeColor="text1"/>
          <w:sz w:val="30"/>
          <w:szCs w:val="30"/>
        </w:rPr>
      </w:pPr>
      <w:r>
        <w:rPr>
          <w:rFonts w:hAnsi="宋体"/>
          <w:color w:val="000000" w:themeColor="text1"/>
          <w:sz w:val="24"/>
        </w:rPr>
        <w:t>年月日</w:t>
      </w:r>
    </w:p>
    <w:p w14:paraId="0B609BD2">
      <w:pPr>
        <w:spacing w:line="400" w:lineRule="exact"/>
        <w:jc w:val="center"/>
        <w:rPr>
          <w:b/>
          <w:bCs/>
          <w:color w:val="000000" w:themeColor="text1"/>
          <w:sz w:val="30"/>
          <w:szCs w:val="30"/>
        </w:rPr>
      </w:pPr>
      <w:r>
        <w:rPr>
          <w:rFonts w:ascii="宋体" w:hAnsi="宋体"/>
          <w:b/>
          <w:color w:val="000000" w:themeColor="text1"/>
          <w:sz w:val="30"/>
          <w:szCs w:val="30"/>
        </w:rPr>
        <w:br w:type="page"/>
      </w:r>
      <w:bookmarkStart w:id="436" w:name="_Toc732"/>
      <w:r>
        <w:rPr>
          <w:rFonts w:hint="eastAsia" w:cs="宋体"/>
          <w:b/>
          <w:bCs/>
          <w:color w:val="000000" w:themeColor="text1"/>
          <w:sz w:val="30"/>
          <w:szCs w:val="30"/>
        </w:rPr>
        <w:t>二、已标价的工程量清单</w:t>
      </w:r>
      <w:bookmarkEnd w:id="436"/>
    </w:p>
    <w:p w14:paraId="60C36765">
      <w:pPr>
        <w:wordWrap w:val="0"/>
        <w:spacing w:line="420" w:lineRule="exact"/>
        <w:ind w:firstLine="5421" w:firstLineChars="1800"/>
        <w:rPr>
          <w:b/>
          <w:bCs/>
          <w:color w:val="000000" w:themeColor="text1"/>
          <w:sz w:val="30"/>
          <w:szCs w:val="30"/>
        </w:rPr>
      </w:pPr>
    </w:p>
    <w:p w14:paraId="71FCE3EF">
      <w:pPr>
        <w:pStyle w:val="148"/>
        <w:spacing w:beforeLines="0" w:line="360" w:lineRule="auto"/>
        <w:ind w:firstLine="472" w:firstLineChars="196"/>
        <w:jc w:val="both"/>
        <w:rPr>
          <w:rFonts w:ascii="Times New Roman" w:hAnsi="Times New Roman" w:eastAsia="宋体" w:cs="Times New Roman"/>
          <w:color w:val="000000" w:themeColor="text1"/>
          <w:sz w:val="24"/>
          <w:szCs w:val="24"/>
        </w:rPr>
      </w:pPr>
    </w:p>
    <w:p w14:paraId="4DE707FA">
      <w:pPr>
        <w:pStyle w:val="148"/>
        <w:spacing w:beforeLines="0" w:line="360" w:lineRule="auto"/>
        <w:ind w:firstLine="472" w:firstLineChars="196"/>
        <w:jc w:val="both"/>
        <w:outlineLvl w:val="0"/>
        <w:rPr>
          <w:rFonts w:ascii="Times New Roman" w:hAnsi="Times New Roman" w:eastAsia="宋体" w:cs="Times New Roman"/>
          <w:color w:val="000000" w:themeColor="text1"/>
          <w:sz w:val="24"/>
          <w:szCs w:val="24"/>
        </w:rPr>
      </w:pPr>
      <w:bookmarkStart w:id="437" w:name="_Toc25096"/>
      <w:r>
        <w:rPr>
          <w:rFonts w:hint="eastAsia" w:ascii="Times New Roman" w:hAnsi="Times New Roman" w:eastAsia="宋体"/>
          <w:color w:val="000000" w:themeColor="text1"/>
          <w:sz w:val="24"/>
          <w:szCs w:val="24"/>
        </w:rPr>
        <w:t>注意事项：</w:t>
      </w:r>
      <w:bookmarkEnd w:id="437"/>
    </w:p>
    <w:p w14:paraId="0D91FABE">
      <w:pPr>
        <w:pStyle w:val="148"/>
        <w:spacing w:beforeLines="0" w:line="360" w:lineRule="auto"/>
        <w:ind w:firstLine="470" w:firstLineChars="196"/>
        <w:jc w:val="both"/>
        <w:rPr>
          <w:rFonts w:ascii="Times New Roman" w:hAnsi="Times New Roman" w:eastAsia="宋体" w:cs="Times New Roman"/>
          <w:b w:val="0"/>
          <w:bCs w:val="0"/>
          <w:color w:val="000000" w:themeColor="text1"/>
          <w:sz w:val="24"/>
          <w:szCs w:val="24"/>
        </w:rPr>
      </w:pPr>
      <w:r>
        <w:rPr>
          <w:rFonts w:ascii="Times New Roman" w:hAnsi="Times New Roman" w:eastAsia="宋体" w:cs="宋体"/>
          <w:b w:val="0"/>
          <w:bCs w:val="0"/>
          <w:color w:val="000000" w:themeColor="text1"/>
          <w:sz w:val="24"/>
          <w:szCs w:val="24"/>
        </w:rPr>
        <w:t>1</w:t>
      </w:r>
      <w:r>
        <w:rPr>
          <w:rFonts w:hint="eastAsia" w:ascii="Times New Roman" w:hAnsi="Times New Roman" w:eastAsia="宋体" w:cs="宋体"/>
          <w:b w:val="0"/>
          <w:bCs w:val="0"/>
          <w:color w:val="000000" w:themeColor="text1"/>
          <w:sz w:val="24"/>
          <w:szCs w:val="24"/>
        </w:rPr>
        <w:t>、投标人应按照第五章“工程量清单”的要求逐项填报工程量清单，工程量清单应采用电子版文件打印形成，其格式与数据应与电子版文件相一致。招标人提供工程量固化清单电子文档，投标人只需输入单价，自动形成合价、总价。</w:t>
      </w:r>
    </w:p>
    <w:p w14:paraId="2B730ADC">
      <w:pPr>
        <w:pStyle w:val="148"/>
        <w:spacing w:beforeLines="0" w:line="360" w:lineRule="auto"/>
        <w:ind w:firstLine="472" w:firstLineChars="196"/>
        <w:jc w:val="both"/>
        <w:rPr>
          <w:rFonts w:ascii="Times New Roman" w:hAnsi="Times New Roman" w:eastAsia="宋体" w:cs="Times New Roman"/>
          <w:color w:val="000000" w:themeColor="text1"/>
          <w:sz w:val="24"/>
          <w:szCs w:val="24"/>
        </w:rPr>
      </w:pPr>
      <w:r>
        <w:rPr>
          <w:rFonts w:ascii="Times New Roman" w:hAnsi="Times New Roman" w:eastAsia="宋体" w:cs="宋体"/>
          <w:color w:val="000000" w:themeColor="text1"/>
          <w:sz w:val="24"/>
          <w:szCs w:val="24"/>
        </w:rPr>
        <w:t>2</w:t>
      </w:r>
      <w:r>
        <w:rPr>
          <w:rFonts w:hint="eastAsia" w:ascii="Times New Roman" w:hAnsi="Times New Roman" w:eastAsia="宋体" w:cs="宋体"/>
          <w:color w:val="000000" w:themeColor="text1"/>
          <w:sz w:val="24"/>
          <w:szCs w:val="24"/>
        </w:rPr>
        <w:t>、投标人不允许修改招标人提供的工程量清单的指定价格或指定单价、编号、细目、数量、运算定义等，否则对该投标人的投标文件做否决投标处理。</w:t>
      </w:r>
    </w:p>
    <w:p w14:paraId="04A22691">
      <w:pPr>
        <w:pStyle w:val="148"/>
        <w:spacing w:beforeLines="0" w:line="360" w:lineRule="auto"/>
        <w:ind w:firstLine="470" w:firstLineChars="196"/>
        <w:jc w:val="both"/>
        <w:rPr>
          <w:rFonts w:ascii="Times New Roman" w:hAnsi="Times New Roman" w:eastAsia="宋体" w:cs="Times New Roman"/>
          <w:b w:val="0"/>
          <w:bCs w:val="0"/>
          <w:color w:val="000000" w:themeColor="text1"/>
          <w:sz w:val="24"/>
          <w:szCs w:val="24"/>
        </w:rPr>
      </w:pPr>
      <w:r>
        <w:rPr>
          <w:rFonts w:ascii="Times New Roman" w:hAnsi="Times New Roman" w:eastAsia="宋体" w:cs="宋体"/>
          <w:b w:val="0"/>
          <w:bCs w:val="0"/>
          <w:color w:val="000000" w:themeColor="text1"/>
          <w:sz w:val="24"/>
          <w:szCs w:val="24"/>
        </w:rPr>
        <w:t>3</w:t>
      </w:r>
      <w:r>
        <w:rPr>
          <w:rFonts w:hint="eastAsia" w:ascii="Times New Roman" w:hAnsi="Times New Roman" w:eastAsia="宋体" w:cs="宋体"/>
          <w:b w:val="0"/>
          <w:bCs w:val="0"/>
          <w:color w:val="000000" w:themeColor="text1"/>
          <w:sz w:val="24"/>
          <w:szCs w:val="24"/>
        </w:rPr>
        <w:t>、投标人发现工程量清单电子文档有数量和运算定义等错误时，请及时向招标人提出，在招标人未修改前，切勿自行修改。</w:t>
      </w:r>
    </w:p>
    <w:p w14:paraId="2EB4A11B">
      <w:pPr>
        <w:pStyle w:val="148"/>
        <w:spacing w:beforeLines="0" w:line="360" w:lineRule="auto"/>
        <w:ind w:firstLine="472" w:firstLineChars="196"/>
        <w:jc w:val="both"/>
        <w:rPr>
          <w:rFonts w:ascii="Times New Roman" w:hAnsi="Times New Roman" w:eastAsia="宋体" w:cs="宋体"/>
          <w:color w:val="000000" w:themeColor="text1"/>
          <w:sz w:val="24"/>
          <w:szCs w:val="24"/>
        </w:rPr>
      </w:pPr>
      <w:r>
        <w:rPr>
          <w:rFonts w:ascii="Times New Roman" w:hAnsi="Times New Roman" w:eastAsia="宋体" w:cs="宋体"/>
          <w:color w:val="000000" w:themeColor="text1"/>
          <w:sz w:val="24"/>
          <w:szCs w:val="24"/>
        </w:rPr>
        <w:t>4</w:t>
      </w:r>
      <w:r>
        <w:rPr>
          <w:rFonts w:hint="eastAsia" w:ascii="Times New Roman" w:hAnsi="Times New Roman" w:eastAsia="宋体" w:cs="宋体"/>
          <w:color w:val="000000" w:themeColor="text1"/>
          <w:sz w:val="24"/>
          <w:szCs w:val="24"/>
        </w:rPr>
        <w:t>、标价的工程量应采用招标人提供的固化工程量清单填写并打印，禁止采用报价软件自动生成打印或导出。</w:t>
      </w:r>
    </w:p>
    <w:p w14:paraId="16D7291C">
      <w:pPr>
        <w:widowControl/>
        <w:jc w:val="left"/>
        <w:rPr>
          <w:rFonts w:cs="宋体"/>
          <w:b/>
          <w:bCs/>
          <w:color w:val="000000" w:themeColor="text1"/>
          <w:sz w:val="24"/>
          <w:szCs w:val="24"/>
        </w:rPr>
      </w:pPr>
      <w:r>
        <w:rPr>
          <w:rFonts w:cs="宋体"/>
          <w:color w:val="000000" w:themeColor="text1"/>
          <w:sz w:val="24"/>
          <w:szCs w:val="24"/>
        </w:rPr>
        <w:br w:type="page"/>
      </w:r>
    </w:p>
    <w:p w14:paraId="269A77C2">
      <w:pPr>
        <w:spacing w:line="360" w:lineRule="auto"/>
        <w:jc w:val="center"/>
        <w:rPr>
          <w:rFonts w:ascii="宋体" w:hAnsi="宋体"/>
          <w:b/>
          <w:bCs/>
          <w:sz w:val="36"/>
          <w:szCs w:val="36"/>
        </w:rPr>
      </w:pPr>
      <w:r>
        <w:rPr>
          <w:rFonts w:hint="eastAsia" w:ascii="宋体" w:hAnsi="宋体" w:cs="宋体"/>
          <w:sz w:val="24"/>
          <w:szCs w:val="24"/>
        </w:rPr>
        <w:t>三、</w:t>
      </w:r>
      <w:r>
        <w:rPr>
          <w:rFonts w:hint="eastAsia" w:ascii="宋体" w:hAnsi="宋体"/>
          <w:b/>
          <w:sz w:val="28"/>
          <w:szCs w:val="24"/>
        </w:rPr>
        <w:t>施工现场踏勘确认函</w:t>
      </w:r>
    </w:p>
    <w:p w14:paraId="3A06E032">
      <w:pPr>
        <w:spacing w:line="360" w:lineRule="auto"/>
        <w:rPr>
          <w:sz w:val="24"/>
          <w:szCs w:val="32"/>
          <w:u w:val="single"/>
        </w:rPr>
      </w:pPr>
      <w:r>
        <w:rPr>
          <w:rFonts w:hint="eastAsia"/>
          <w:sz w:val="24"/>
          <w:szCs w:val="32"/>
        </w:rPr>
        <w:t>致：</w:t>
      </w:r>
      <w:r>
        <w:rPr>
          <w:rFonts w:hint="eastAsia"/>
          <w:sz w:val="24"/>
          <w:szCs w:val="32"/>
          <w:u w:val="single"/>
        </w:rPr>
        <w:t xml:space="preserve">  （招标人）          </w:t>
      </w:r>
    </w:p>
    <w:p w14:paraId="46D62A3E">
      <w:pPr>
        <w:spacing w:line="360" w:lineRule="auto"/>
        <w:ind w:firstLine="480" w:firstLineChars="200"/>
        <w:rPr>
          <w:sz w:val="24"/>
          <w:szCs w:val="32"/>
        </w:rPr>
      </w:pPr>
      <w:r>
        <w:rPr>
          <w:rFonts w:hint="eastAsia"/>
          <w:sz w:val="24"/>
          <w:szCs w:val="32"/>
        </w:rPr>
        <w:t>我单位已按招标文件要求踏勘了贵单位的</w:t>
      </w:r>
      <w:r>
        <w:rPr>
          <w:rFonts w:hint="eastAsia" w:ascii="宋体" w:hAnsi="宋体" w:cs="宋体"/>
          <w:b/>
          <w:bCs/>
          <w:sz w:val="24"/>
          <w:szCs w:val="24"/>
          <w:u w:val="single"/>
        </w:rPr>
        <w:t xml:space="preserve">    （项目名称）   </w:t>
      </w:r>
      <w:r>
        <w:rPr>
          <w:rFonts w:hint="eastAsia"/>
          <w:sz w:val="24"/>
          <w:szCs w:val="32"/>
        </w:rPr>
        <w:t>施工现场，获取了所有与本项目有关的数据及信息，并充分了解项目所在地的位置、周边设施、水电、道路、管网布置、场地布置、物料搬（转）运等足以影响投标报价的相关情况，由此可能发生的所有费用我单位均在报价中予以综合考虑。</w:t>
      </w:r>
    </w:p>
    <w:p w14:paraId="429DE969">
      <w:pPr>
        <w:spacing w:line="360" w:lineRule="auto"/>
        <w:ind w:firstLine="480" w:firstLineChars="200"/>
        <w:rPr>
          <w:sz w:val="24"/>
          <w:szCs w:val="32"/>
        </w:rPr>
      </w:pPr>
      <w:r>
        <w:rPr>
          <w:rFonts w:hint="eastAsia"/>
          <w:sz w:val="24"/>
          <w:szCs w:val="32"/>
        </w:rPr>
        <w:t>我公单位郑重承诺，如中标后，不会以不了解现场为由，提出报价以外的任何费用要求。</w:t>
      </w:r>
    </w:p>
    <w:p w14:paraId="313BE5BF">
      <w:pPr>
        <w:spacing w:line="360" w:lineRule="auto"/>
        <w:rPr>
          <w:sz w:val="24"/>
          <w:szCs w:val="32"/>
        </w:rPr>
      </w:pPr>
    </w:p>
    <w:p w14:paraId="1FFFD2EE">
      <w:pPr>
        <w:tabs>
          <w:tab w:val="left" w:pos="2410"/>
        </w:tabs>
        <w:adjustRightInd w:val="0"/>
        <w:snapToGrid w:val="0"/>
        <w:spacing w:line="360" w:lineRule="auto"/>
        <w:textAlignment w:val="baseline"/>
        <w:rPr>
          <w:rFonts w:ascii="宋体" w:hAnsi="宋体" w:cs="宋体"/>
          <w:sz w:val="24"/>
          <w:szCs w:val="24"/>
        </w:rPr>
      </w:pPr>
      <w:r>
        <w:rPr>
          <w:rFonts w:hint="eastAsia" w:ascii="宋体" w:hAnsi="宋体" w:cs="宋体"/>
          <w:sz w:val="24"/>
          <w:szCs w:val="24"/>
        </w:rPr>
        <w:t>投标单位(盖单位章)：</w:t>
      </w:r>
    </w:p>
    <w:p w14:paraId="07EF3867">
      <w:pPr>
        <w:tabs>
          <w:tab w:val="left" w:pos="2410"/>
        </w:tabs>
        <w:adjustRightInd w:val="0"/>
        <w:snapToGrid w:val="0"/>
        <w:spacing w:line="360" w:lineRule="auto"/>
        <w:textAlignment w:val="baseline"/>
        <w:rPr>
          <w:rFonts w:ascii="宋体" w:hAnsi="宋体" w:cs="宋体"/>
          <w:sz w:val="24"/>
          <w:szCs w:val="24"/>
          <w:u w:val="single"/>
        </w:rPr>
      </w:pPr>
      <w:r>
        <w:rPr>
          <w:rFonts w:hint="eastAsia" w:ascii="宋体" w:hAnsi="宋体" w:cs="宋体"/>
          <w:sz w:val="24"/>
          <w:szCs w:val="24"/>
        </w:rPr>
        <w:t>法定代表人或其委托代理人(签字或</w:t>
      </w:r>
      <w:r>
        <w:rPr>
          <w:rFonts w:hint="eastAsia" w:ascii="宋体" w:hAnsi="宋体" w:cs="宋体"/>
          <w:sz w:val="24"/>
          <w:szCs w:val="24"/>
          <w:lang w:val="en-US" w:eastAsia="zh-CN"/>
        </w:rPr>
        <w:t>盖</w:t>
      </w:r>
      <w:r>
        <w:rPr>
          <w:rFonts w:hint="eastAsia" w:ascii="宋体" w:hAnsi="宋体" w:cs="宋体"/>
          <w:sz w:val="24"/>
          <w:szCs w:val="24"/>
        </w:rPr>
        <w:t>章)：</w:t>
      </w:r>
    </w:p>
    <w:p w14:paraId="73C309A2">
      <w:pPr>
        <w:tabs>
          <w:tab w:val="left" w:pos="2410"/>
        </w:tabs>
        <w:adjustRightInd w:val="0"/>
        <w:snapToGrid w:val="0"/>
        <w:spacing w:line="360" w:lineRule="auto"/>
        <w:ind w:right="500"/>
        <w:textAlignment w:val="baseline"/>
        <w:rPr>
          <w:rFonts w:ascii="宋体" w:hAnsi="宋体" w:cs="宋体"/>
          <w:sz w:val="24"/>
          <w:szCs w:val="24"/>
          <w:u w:val="single"/>
        </w:rPr>
      </w:pPr>
      <w:r>
        <w:rPr>
          <w:rFonts w:hint="eastAsia" w:ascii="宋体" w:hAnsi="宋体" w:cs="宋体"/>
          <w:sz w:val="24"/>
          <w:szCs w:val="24"/>
        </w:rPr>
        <w:t xml:space="preserve">日期： </w:t>
      </w:r>
    </w:p>
    <w:p w14:paraId="3B4C0530">
      <w:pPr>
        <w:spacing w:line="360" w:lineRule="auto"/>
        <w:ind w:left="480"/>
        <w:jc w:val="center"/>
        <w:rPr>
          <w:rFonts w:ascii="宋体" w:hAnsi="宋体"/>
          <w:b/>
          <w:bCs/>
          <w:sz w:val="24"/>
          <w:szCs w:val="24"/>
        </w:rPr>
      </w:pPr>
    </w:p>
    <w:p w14:paraId="0AAB768F">
      <w:pPr>
        <w:pStyle w:val="148"/>
        <w:spacing w:beforeLines="0" w:line="360" w:lineRule="auto"/>
        <w:ind w:firstLine="472" w:firstLineChars="196"/>
        <w:jc w:val="both"/>
        <w:rPr>
          <w:rFonts w:ascii="Times New Roman" w:hAnsi="Times New Roman" w:eastAsia="宋体" w:cs="Times New Roman"/>
          <w:color w:val="000000" w:themeColor="text1"/>
          <w:sz w:val="24"/>
          <w:szCs w:val="24"/>
        </w:rPr>
      </w:pPr>
    </w:p>
    <w:p w14:paraId="359AC3E2">
      <w:pPr>
        <w:pStyle w:val="89"/>
        <w:ind w:firstLine="960"/>
        <w:rPr>
          <w:rFonts w:ascii="Times New Roman" w:hAnsi="Times New Roman"/>
          <w:color w:val="000000" w:themeColor="text1"/>
          <w:sz w:val="48"/>
          <w:szCs w:val="48"/>
        </w:rPr>
      </w:pPr>
    </w:p>
    <w:sectPr>
      <w:footerReference r:id="rId10" w:type="default"/>
      <w:pgSz w:w="11905" w:h="16838"/>
      <w:pgMar w:top="1389" w:right="1474" w:bottom="1389" w:left="1644" w:header="850"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KNLe">
    <w:altName w:val="Times New Roman"/>
    <w:panose1 w:val="00000000000000000000"/>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文鼎CS长美黑">
    <w:altName w:val="宋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汉鼎简大宋">
    <w:altName w:val="宋体"/>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Noto Sans CJK JP Regular">
    <w:altName w:val="Arial"/>
    <w:panose1 w:val="00000000000000000000"/>
    <w:charset w:val="00"/>
    <w:family w:val="swiss"/>
    <w:pitch w:val="default"/>
    <w:sig w:usb0="00000000" w:usb1="00000000" w:usb2="00000000" w:usb3="00000000" w:csb0="00040001" w:csb1="00000000"/>
  </w:font>
  <w:font w:name="Arial Narrow">
    <w:panose1 w:val="020B0606020202030204"/>
    <w:charset w:val="00"/>
    <w:family w:val="swiss"/>
    <w:pitch w:val="default"/>
    <w:sig w:usb0="00000287" w:usb1="00000800" w:usb2="00000000" w:usb3="00000000" w:csb0="2000009F" w:csb1="DFD70000"/>
  </w:font>
  <w:font w:name="Wingdings 2">
    <w:panose1 w:val="05020102010507070707"/>
    <w:charset w:val="02"/>
    <w:family w:val="roman"/>
    <w:pitch w:val="default"/>
    <w:sig w:usb0="00000000" w:usb1="00000000" w:usb2="00000000" w:usb3="00000000" w:csb0="80000000" w:csb1="00000000"/>
  </w:font>
  <w:font w:name="T3Font_0">
    <w:altName w:val="微软雅黑"/>
    <w:panose1 w:val="00000000000000000000"/>
    <w:charset w:val="86"/>
    <w:family w:val="swiss"/>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Microsoft JhengHei Light">
    <w:panose1 w:val="020B0304030504040204"/>
    <w:charset w:val="88"/>
    <w:family w:val="swiss"/>
    <w:pitch w:val="default"/>
    <w:sig w:usb0="8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E0086">
    <w:pPr>
      <w:pStyle w:val="32"/>
    </w:pPr>
    <w:r>
      <w:pict>
        <v:shape id="_x0000_s4097" o:spid="_x0000_s4097"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path/>
          <v:fill on="f" focussize="0,0"/>
          <v:stroke on="f" weight="0.5pt" joinstyle="miter"/>
          <v:imagedata o:title=""/>
          <o:lock v:ext="edit"/>
          <v:textbox inset="0mm,0mm,0mm,0mm" style="mso-fit-shape-to-text:t;">
            <w:txbxContent>
              <w:p w14:paraId="6B9CBEF5">
                <w:pPr>
                  <w:pStyle w:val="32"/>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88A17">
    <w:pPr>
      <w:spacing w:line="200" w:lineRule="exact"/>
      <w:rPr>
        <w:sz w:val="20"/>
        <w:szCs w:val="20"/>
      </w:rPr>
    </w:pPr>
    <w:r>
      <w:rPr>
        <w:sz w:val="20"/>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path/>
          <v:fill on="f" focussize="0,0"/>
          <v:stroke on="f" weight="0.5pt" joinstyle="miter"/>
          <v:imagedata o:title=""/>
          <o:lock v:ext="edit"/>
          <v:textbox inset="0mm,0mm,0mm,0mm" style="mso-fit-shape-to-text:t;">
            <w:txbxContent>
              <w:p w14:paraId="3D0F3FB8">
                <w:pPr>
                  <w:pStyle w:val="32"/>
                </w:pPr>
                <w:r>
                  <w:fldChar w:fldCharType="begin"/>
                </w:r>
                <w:r>
                  <w:instrText xml:space="preserve"> PAGE  \* MERGEFORMAT </w:instrText>
                </w:r>
                <w:r>
                  <w:fldChar w:fldCharType="separate"/>
                </w:r>
                <w:r>
                  <w:t>54</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4EBE3">
    <w:pPr>
      <w:pStyle w:val="32"/>
    </w:pPr>
    <w:r>
      <w:pict>
        <v:shape id="_x0000_s4099" o:spid="_x0000_s409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path/>
          <v:fill on="f" focussize="0,0"/>
          <v:stroke on="f" weight="0.5pt" joinstyle="miter"/>
          <v:imagedata o:title=""/>
          <o:lock v:ext="edit"/>
          <v:textbox inset="0mm,0mm,0mm,0mm" style="mso-fit-shape-to-text:t;">
            <w:txbxContent>
              <w:p w14:paraId="65E36F74">
                <w:pPr>
                  <w:pStyle w:val="32"/>
                </w:pPr>
                <w:r>
                  <w:fldChar w:fldCharType="begin"/>
                </w:r>
                <w:r>
                  <w:instrText xml:space="preserve"> PAGE  \* MERGEFORMAT </w:instrText>
                </w:r>
                <w:r>
                  <w:fldChar w:fldCharType="separate"/>
                </w:r>
                <w:r>
                  <w:t>67</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D531F">
    <w:pPr>
      <w:pStyle w:val="32"/>
      <w:ind w:right="360"/>
    </w:pPr>
    <w:r>
      <w:pict>
        <v:shape id="_x0000_s4100"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path/>
          <v:fill on="f" focussize="0,0"/>
          <v:stroke on="f" weight="0.5pt" joinstyle="miter"/>
          <v:imagedata o:title=""/>
          <o:lock v:ext="edit"/>
          <v:textbox inset="0mm,0mm,0mm,0mm" style="mso-fit-shape-to-text:t;">
            <w:txbxContent>
              <w:p w14:paraId="097DCAF5">
                <w:pPr>
                  <w:pStyle w:val="32"/>
                </w:pPr>
                <w:r>
                  <w:fldChar w:fldCharType="begin"/>
                </w:r>
                <w:r>
                  <w:instrText xml:space="preserve"> PAGE  \* MERGEFORMAT </w:instrText>
                </w:r>
                <w:r>
                  <w:fldChar w:fldCharType="separate"/>
                </w:r>
                <w:r>
                  <w:t>75</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1D058">
    <w:pPr>
      <w:pStyle w:val="32"/>
    </w:pPr>
    <w:r>
      <w:pict>
        <v:shape id="_x0000_s4101" o:spid="_x0000_s4101"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path/>
          <v:fill on="f" focussize="0,0"/>
          <v:stroke on="f" weight="0.5pt" joinstyle="miter"/>
          <v:imagedata o:title=""/>
          <o:lock v:ext="edit"/>
          <v:textbox inset="0mm,0mm,0mm,0mm" style="mso-fit-shape-to-text:t;">
            <w:txbxContent>
              <w:p w14:paraId="3C7FB7C1">
                <w:pPr>
                  <w:pStyle w:val="32"/>
                </w:pPr>
                <w:r>
                  <w:fldChar w:fldCharType="begin"/>
                </w:r>
                <w:r>
                  <w:instrText xml:space="preserve"> PAGE  \* MERGEFORMAT </w:instrText>
                </w:r>
                <w:r>
                  <w:fldChar w:fldCharType="separate"/>
                </w:r>
                <w:r>
                  <w:t>84</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A29E7">
    <w:pPr>
      <w:pStyle w:val="32"/>
    </w:pPr>
    <w:r>
      <w:pict>
        <v:shape id="_x0000_s4102" o:spid="_x0000_s4102"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path/>
          <v:fill on="f" focussize="0,0"/>
          <v:stroke on="f" weight="0.5pt" joinstyle="miter"/>
          <v:imagedata o:title=""/>
          <o:lock v:ext="edit"/>
          <v:textbox inset="0mm,0mm,0mm,0mm" style="mso-fit-shape-to-text:t;">
            <w:txbxContent>
              <w:p w14:paraId="308E589F">
                <w:pPr>
                  <w:pStyle w:val="32"/>
                </w:pPr>
                <w:r>
                  <w:fldChar w:fldCharType="begin"/>
                </w:r>
                <w:r>
                  <w:instrText xml:space="preserve"> PAGE  \* MERGEFORMAT </w:instrText>
                </w:r>
                <w:r>
                  <w:fldChar w:fldCharType="separate"/>
                </w:r>
                <w:r>
                  <w:t>95</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6A52E">
    <w:pPr>
      <w:pStyle w:val="33"/>
      <w:pBdr>
        <w:bottom w:val="none" w:color="auto" w:sz="0" w:space="0"/>
      </w:pBdr>
      <w:tabs>
        <w:tab w:val="right" w:pos="8592"/>
        <w:tab w:val="clear" w:pos="4153"/>
        <w:tab w:val="clear" w:pos="8306"/>
      </w:tabs>
      <w:ind w:right="45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568D">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72CD72"/>
    <w:multiLevelType w:val="singleLevel"/>
    <w:tmpl w:val="2472CD72"/>
    <w:lvl w:ilvl="0" w:tentative="0">
      <w:start w:val="1"/>
      <w:numFmt w:val="decimal"/>
      <w:lvlText w:val="%1."/>
      <w:lvlJc w:val="left"/>
      <w:pPr>
        <w:ind w:left="425" w:hanging="425"/>
      </w:pPr>
      <w:rPr>
        <w:rFonts w:hint="default"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hideSpellingErrors/>
  <w:documentProtection w:enforcement="0"/>
  <w:defaultTabStop w:val="420"/>
  <w:doNotHyphenateCaps/>
  <w:drawingGridHorizontalSpacing w:val="105"/>
  <w:drawingGridVerticalSpacing w:val="156"/>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JkODg0NjgxNmM0NGJhZmU2YjFjZDliYjVhYWJiMTUifQ=="/>
  </w:docVars>
  <w:rsids>
    <w:rsidRoot w:val="00172A27"/>
    <w:rsid w:val="00000159"/>
    <w:rsid w:val="00000181"/>
    <w:rsid w:val="00000A30"/>
    <w:rsid w:val="00000A4A"/>
    <w:rsid w:val="00000E46"/>
    <w:rsid w:val="0000149A"/>
    <w:rsid w:val="0000154F"/>
    <w:rsid w:val="0000209F"/>
    <w:rsid w:val="00003034"/>
    <w:rsid w:val="00003FFE"/>
    <w:rsid w:val="0000495A"/>
    <w:rsid w:val="00004EB3"/>
    <w:rsid w:val="00005598"/>
    <w:rsid w:val="00005649"/>
    <w:rsid w:val="00005CAD"/>
    <w:rsid w:val="00005DE9"/>
    <w:rsid w:val="0000617C"/>
    <w:rsid w:val="00007C20"/>
    <w:rsid w:val="00007EBA"/>
    <w:rsid w:val="000100A9"/>
    <w:rsid w:val="00010E14"/>
    <w:rsid w:val="00011076"/>
    <w:rsid w:val="0001155C"/>
    <w:rsid w:val="00011644"/>
    <w:rsid w:val="00011DD3"/>
    <w:rsid w:val="00011EBE"/>
    <w:rsid w:val="00012197"/>
    <w:rsid w:val="00012AF8"/>
    <w:rsid w:val="000135AD"/>
    <w:rsid w:val="000143DD"/>
    <w:rsid w:val="00014437"/>
    <w:rsid w:val="00014C19"/>
    <w:rsid w:val="00014CA0"/>
    <w:rsid w:val="00014EDF"/>
    <w:rsid w:val="00015A06"/>
    <w:rsid w:val="00015DA4"/>
    <w:rsid w:val="00016BA2"/>
    <w:rsid w:val="00017722"/>
    <w:rsid w:val="00020064"/>
    <w:rsid w:val="00020501"/>
    <w:rsid w:val="00020F92"/>
    <w:rsid w:val="00021634"/>
    <w:rsid w:val="00021BBD"/>
    <w:rsid w:val="00021C6A"/>
    <w:rsid w:val="000226D7"/>
    <w:rsid w:val="00022FEF"/>
    <w:rsid w:val="00023252"/>
    <w:rsid w:val="000232BA"/>
    <w:rsid w:val="000237AD"/>
    <w:rsid w:val="0002417A"/>
    <w:rsid w:val="000243F4"/>
    <w:rsid w:val="00024576"/>
    <w:rsid w:val="00024E63"/>
    <w:rsid w:val="00025510"/>
    <w:rsid w:val="0002566C"/>
    <w:rsid w:val="00025CDA"/>
    <w:rsid w:val="00026979"/>
    <w:rsid w:val="00026D72"/>
    <w:rsid w:val="0002722D"/>
    <w:rsid w:val="000279EA"/>
    <w:rsid w:val="00027AEA"/>
    <w:rsid w:val="00027AF2"/>
    <w:rsid w:val="00027E69"/>
    <w:rsid w:val="00030270"/>
    <w:rsid w:val="00030330"/>
    <w:rsid w:val="00030648"/>
    <w:rsid w:val="00031390"/>
    <w:rsid w:val="00031B73"/>
    <w:rsid w:val="00032DB1"/>
    <w:rsid w:val="00033417"/>
    <w:rsid w:val="00033671"/>
    <w:rsid w:val="000342AE"/>
    <w:rsid w:val="000349EA"/>
    <w:rsid w:val="0003501D"/>
    <w:rsid w:val="000350E6"/>
    <w:rsid w:val="00035C85"/>
    <w:rsid w:val="00035F09"/>
    <w:rsid w:val="000363AC"/>
    <w:rsid w:val="0003706F"/>
    <w:rsid w:val="0003709C"/>
    <w:rsid w:val="00037131"/>
    <w:rsid w:val="00037496"/>
    <w:rsid w:val="0003761E"/>
    <w:rsid w:val="0003785D"/>
    <w:rsid w:val="0003787A"/>
    <w:rsid w:val="000402B0"/>
    <w:rsid w:val="00041DC6"/>
    <w:rsid w:val="00041DEC"/>
    <w:rsid w:val="00041F96"/>
    <w:rsid w:val="00042131"/>
    <w:rsid w:val="000429DA"/>
    <w:rsid w:val="000432F5"/>
    <w:rsid w:val="00043672"/>
    <w:rsid w:val="000436F0"/>
    <w:rsid w:val="00043804"/>
    <w:rsid w:val="00043AE0"/>
    <w:rsid w:val="00043CFB"/>
    <w:rsid w:val="00043FDA"/>
    <w:rsid w:val="0004464A"/>
    <w:rsid w:val="000456B2"/>
    <w:rsid w:val="000456BE"/>
    <w:rsid w:val="000456ED"/>
    <w:rsid w:val="00045A0A"/>
    <w:rsid w:val="00045BD2"/>
    <w:rsid w:val="00045BF2"/>
    <w:rsid w:val="00045E36"/>
    <w:rsid w:val="00045EA4"/>
    <w:rsid w:val="0004649B"/>
    <w:rsid w:val="000467D7"/>
    <w:rsid w:val="00046D73"/>
    <w:rsid w:val="00046FBA"/>
    <w:rsid w:val="000470F1"/>
    <w:rsid w:val="000471D9"/>
    <w:rsid w:val="000477C6"/>
    <w:rsid w:val="000477F3"/>
    <w:rsid w:val="0004789C"/>
    <w:rsid w:val="0004790E"/>
    <w:rsid w:val="00047A3B"/>
    <w:rsid w:val="00047A41"/>
    <w:rsid w:val="00047BE1"/>
    <w:rsid w:val="00047C91"/>
    <w:rsid w:val="00050D38"/>
    <w:rsid w:val="00050DD1"/>
    <w:rsid w:val="000513B4"/>
    <w:rsid w:val="00051418"/>
    <w:rsid w:val="00051547"/>
    <w:rsid w:val="000517B0"/>
    <w:rsid w:val="00051B4D"/>
    <w:rsid w:val="00051C3F"/>
    <w:rsid w:val="00052923"/>
    <w:rsid w:val="00052C27"/>
    <w:rsid w:val="00052FC3"/>
    <w:rsid w:val="000534CA"/>
    <w:rsid w:val="0005359C"/>
    <w:rsid w:val="00053E13"/>
    <w:rsid w:val="00053EC0"/>
    <w:rsid w:val="000549A7"/>
    <w:rsid w:val="00054B73"/>
    <w:rsid w:val="0005654F"/>
    <w:rsid w:val="0005690C"/>
    <w:rsid w:val="00057470"/>
    <w:rsid w:val="00057B47"/>
    <w:rsid w:val="00057C1F"/>
    <w:rsid w:val="00057C2C"/>
    <w:rsid w:val="0006073A"/>
    <w:rsid w:val="00060C2E"/>
    <w:rsid w:val="000611C7"/>
    <w:rsid w:val="00061D22"/>
    <w:rsid w:val="0006259B"/>
    <w:rsid w:val="0006268A"/>
    <w:rsid w:val="000628BD"/>
    <w:rsid w:val="00062EAB"/>
    <w:rsid w:val="00063AC0"/>
    <w:rsid w:val="00064610"/>
    <w:rsid w:val="0006464A"/>
    <w:rsid w:val="000649B8"/>
    <w:rsid w:val="00064D45"/>
    <w:rsid w:val="000652B6"/>
    <w:rsid w:val="000659EB"/>
    <w:rsid w:val="00065A6B"/>
    <w:rsid w:val="00065EFD"/>
    <w:rsid w:val="000667BA"/>
    <w:rsid w:val="000667CB"/>
    <w:rsid w:val="00066A32"/>
    <w:rsid w:val="00070195"/>
    <w:rsid w:val="0007061A"/>
    <w:rsid w:val="00070F6C"/>
    <w:rsid w:val="000712B3"/>
    <w:rsid w:val="00074313"/>
    <w:rsid w:val="00074557"/>
    <w:rsid w:val="00074A6F"/>
    <w:rsid w:val="0007586A"/>
    <w:rsid w:val="000759EA"/>
    <w:rsid w:val="00075CF8"/>
    <w:rsid w:val="000770D6"/>
    <w:rsid w:val="000774CC"/>
    <w:rsid w:val="0008023F"/>
    <w:rsid w:val="0008043D"/>
    <w:rsid w:val="00080C77"/>
    <w:rsid w:val="00081877"/>
    <w:rsid w:val="000819C6"/>
    <w:rsid w:val="00081C99"/>
    <w:rsid w:val="00081E2F"/>
    <w:rsid w:val="00082943"/>
    <w:rsid w:val="00082A03"/>
    <w:rsid w:val="0008324F"/>
    <w:rsid w:val="000834E7"/>
    <w:rsid w:val="0008371E"/>
    <w:rsid w:val="000841C0"/>
    <w:rsid w:val="000841FA"/>
    <w:rsid w:val="0008437E"/>
    <w:rsid w:val="000845B4"/>
    <w:rsid w:val="000865A3"/>
    <w:rsid w:val="00087334"/>
    <w:rsid w:val="00087450"/>
    <w:rsid w:val="000874BD"/>
    <w:rsid w:val="00087C61"/>
    <w:rsid w:val="00087F7E"/>
    <w:rsid w:val="0009055E"/>
    <w:rsid w:val="000906AA"/>
    <w:rsid w:val="000906D5"/>
    <w:rsid w:val="00090B93"/>
    <w:rsid w:val="000911A0"/>
    <w:rsid w:val="000914A2"/>
    <w:rsid w:val="00091623"/>
    <w:rsid w:val="00091DDD"/>
    <w:rsid w:val="000923A0"/>
    <w:rsid w:val="000927FB"/>
    <w:rsid w:val="00092A27"/>
    <w:rsid w:val="000933D4"/>
    <w:rsid w:val="000934FE"/>
    <w:rsid w:val="00093B24"/>
    <w:rsid w:val="00094122"/>
    <w:rsid w:val="00094768"/>
    <w:rsid w:val="00094A75"/>
    <w:rsid w:val="00094D81"/>
    <w:rsid w:val="0009513C"/>
    <w:rsid w:val="00095359"/>
    <w:rsid w:val="000954EC"/>
    <w:rsid w:val="00095843"/>
    <w:rsid w:val="00095DE5"/>
    <w:rsid w:val="00096027"/>
    <w:rsid w:val="00096909"/>
    <w:rsid w:val="00096B4E"/>
    <w:rsid w:val="00096E9E"/>
    <w:rsid w:val="00096FDF"/>
    <w:rsid w:val="00097200"/>
    <w:rsid w:val="00097A3F"/>
    <w:rsid w:val="00097B48"/>
    <w:rsid w:val="000A00E2"/>
    <w:rsid w:val="000A029F"/>
    <w:rsid w:val="000A02E7"/>
    <w:rsid w:val="000A14FE"/>
    <w:rsid w:val="000A15D4"/>
    <w:rsid w:val="000A198A"/>
    <w:rsid w:val="000A201B"/>
    <w:rsid w:val="000A2AC5"/>
    <w:rsid w:val="000A3445"/>
    <w:rsid w:val="000A43F1"/>
    <w:rsid w:val="000A48BB"/>
    <w:rsid w:val="000A573C"/>
    <w:rsid w:val="000A5AA3"/>
    <w:rsid w:val="000A61A4"/>
    <w:rsid w:val="000A6704"/>
    <w:rsid w:val="000A6B29"/>
    <w:rsid w:val="000A7652"/>
    <w:rsid w:val="000A7781"/>
    <w:rsid w:val="000B07B3"/>
    <w:rsid w:val="000B1D9E"/>
    <w:rsid w:val="000B269E"/>
    <w:rsid w:val="000B3EA2"/>
    <w:rsid w:val="000B5179"/>
    <w:rsid w:val="000B5891"/>
    <w:rsid w:val="000B6105"/>
    <w:rsid w:val="000B6298"/>
    <w:rsid w:val="000B78D2"/>
    <w:rsid w:val="000B78F0"/>
    <w:rsid w:val="000C0729"/>
    <w:rsid w:val="000C0CC0"/>
    <w:rsid w:val="000C12BA"/>
    <w:rsid w:val="000C1348"/>
    <w:rsid w:val="000C16B0"/>
    <w:rsid w:val="000C230F"/>
    <w:rsid w:val="000C24DD"/>
    <w:rsid w:val="000C2C71"/>
    <w:rsid w:val="000C2DD5"/>
    <w:rsid w:val="000C3272"/>
    <w:rsid w:val="000C32E3"/>
    <w:rsid w:val="000C3DA5"/>
    <w:rsid w:val="000C3E47"/>
    <w:rsid w:val="000C3FE1"/>
    <w:rsid w:val="000C4955"/>
    <w:rsid w:val="000C49B3"/>
    <w:rsid w:val="000C4EA9"/>
    <w:rsid w:val="000C5573"/>
    <w:rsid w:val="000C5702"/>
    <w:rsid w:val="000C5876"/>
    <w:rsid w:val="000C58AD"/>
    <w:rsid w:val="000C5B56"/>
    <w:rsid w:val="000C5CA6"/>
    <w:rsid w:val="000C5DF9"/>
    <w:rsid w:val="000C62A1"/>
    <w:rsid w:val="000C6380"/>
    <w:rsid w:val="000C638B"/>
    <w:rsid w:val="000C64DE"/>
    <w:rsid w:val="000C6597"/>
    <w:rsid w:val="000C67B6"/>
    <w:rsid w:val="000C6D6A"/>
    <w:rsid w:val="000C71C7"/>
    <w:rsid w:val="000C72DB"/>
    <w:rsid w:val="000C7DA9"/>
    <w:rsid w:val="000C7E70"/>
    <w:rsid w:val="000D0B4C"/>
    <w:rsid w:val="000D161A"/>
    <w:rsid w:val="000D1D57"/>
    <w:rsid w:val="000D1FC9"/>
    <w:rsid w:val="000D2481"/>
    <w:rsid w:val="000D29F5"/>
    <w:rsid w:val="000D2CF7"/>
    <w:rsid w:val="000D3014"/>
    <w:rsid w:val="000D35AE"/>
    <w:rsid w:val="000D3C6D"/>
    <w:rsid w:val="000D3E30"/>
    <w:rsid w:val="000D4283"/>
    <w:rsid w:val="000D4376"/>
    <w:rsid w:val="000D4872"/>
    <w:rsid w:val="000D4D20"/>
    <w:rsid w:val="000D56DF"/>
    <w:rsid w:val="000D5B98"/>
    <w:rsid w:val="000D6779"/>
    <w:rsid w:val="000D6A72"/>
    <w:rsid w:val="000D73EF"/>
    <w:rsid w:val="000E05EC"/>
    <w:rsid w:val="000E15E4"/>
    <w:rsid w:val="000E244F"/>
    <w:rsid w:val="000E2D8F"/>
    <w:rsid w:val="000E2EE9"/>
    <w:rsid w:val="000E3065"/>
    <w:rsid w:val="000E347D"/>
    <w:rsid w:val="000E378D"/>
    <w:rsid w:val="000E3C52"/>
    <w:rsid w:val="000E3D61"/>
    <w:rsid w:val="000E3F7B"/>
    <w:rsid w:val="000E4037"/>
    <w:rsid w:val="000E4540"/>
    <w:rsid w:val="000E479E"/>
    <w:rsid w:val="000E4FEA"/>
    <w:rsid w:val="000E528E"/>
    <w:rsid w:val="000E5366"/>
    <w:rsid w:val="000E56D0"/>
    <w:rsid w:val="000E5D75"/>
    <w:rsid w:val="000E5E1F"/>
    <w:rsid w:val="000E5E8D"/>
    <w:rsid w:val="000E5F32"/>
    <w:rsid w:val="000E6F23"/>
    <w:rsid w:val="000E6FCB"/>
    <w:rsid w:val="000E7068"/>
    <w:rsid w:val="000E749E"/>
    <w:rsid w:val="000E756E"/>
    <w:rsid w:val="000E782B"/>
    <w:rsid w:val="000E7AEF"/>
    <w:rsid w:val="000E7F1C"/>
    <w:rsid w:val="000F065F"/>
    <w:rsid w:val="000F0D41"/>
    <w:rsid w:val="000F18AE"/>
    <w:rsid w:val="000F1C43"/>
    <w:rsid w:val="000F2AD6"/>
    <w:rsid w:val="000F33A2"/>
    <w:rsid w:val="000F39F8"/>
    <w:rsid w:val="000F4158"/>
    <w:rsid w:val="000F4256"/>
    <w:rsid w:val="000F44EA"/>
    <w:rsid w:val="000F4D50"/>
    <w:rsid w:val="000F51F9"/>
    <w:rsid w:val="000F5688"/>
    <w:rsid w:val="000F6ECE"/>
    <w:rsid w:val="000F74EC"/>
    <w:rsid w:val="000F766E"/>
    <w:rsid w:val="001004AE"/>
    <w:rsid w:val="001006CD"/>
    <w:rsid w:val="00100A86"/>
    <w:rsid w:val="00100AB7"/>
    <w:rsid w:val="00100D83"/>
    <w:rsid w:val="00100E60"/>
    <w:rsid w:val="0010144C"/>
    <w:rsid w:val="00101B3E"/>
    <w:rsid w:val="0010218E"/>
    <w:rsid w:val="00102340"/>
    <w:rsid w:val="001023E9"/>
    <w:rsid w:val="00102734"/>
    <w:rsid w:val="00102B04"/>
    <w:rsid w:val="00103917"/>
    <w:rsid w:val="00103C6B"/>
    <w:rsid w:val="00103C87"/>
    <w:rsid w:val="00103E20"/>
    <w:rsid w:val="00105249"/>
    <w:rsid w:val="00105447"/>
    <w:rsid w:val="00105FEF"/>
    <w:rsid w:val="00106904"/>
    <w:rsid w:val="001069A3"/>
    <w:rsid w:val="00107489"/>
    <w:rsid w:val="00107C1D"/>
    <w:rsid w:val="0011030A"/>
    <w:rsid w:val="001105F7"/>
    <w:rsid w:val="00110B1C"/>
    <w:rsid w:val="001114F3"/>
    <w:rsid w:val="00111BFA"/>
    <w:rsid w:val="00111DAA"/>
    <w:rsid w:val="0011356B"/>
    <w:rsid w:val="001143C3"/>
    <w:rsid w:val="00114849"/>
    <w:rsid w:val="0011493F"/>
    <w:rsid w:val="00114BE2"/>
    <w:rsid w:val="00114CC9"/>
    <w:rsid w:val="00114E7C"/>
    <w:rsid w:val="00115399"/>
    <w:rsid w:val="001162E2"/>
    <w:rsid w:val="0011677D"/>
    <w:rsid w:val="00116E8D"/>
    <w:rsid w:val="00116F8F"/>
    <w:rsid w:val="001176EA"/>
    <w:rsid w:val="00117836"/>
    <w:rsid w:val="0011794E"/>
    <w:rsid w:val="001203AF"/>
    <w:rsid w:val="001204FE"/>
    <w:rsid w:val="001207E3"/>
    <w:rsid w:val="001207F9"/>
    <w:rsid w:val="00120DA0"/>
    <w:rsid w:val="00121B0F"/>
    <w:rsid w:val="00121F94"/>
    <w:rsid w:val="00122098"/>
    <w:rsid w:val="00122221"/>
    <w:rsid w:val="001222FB"/>
    <w:rsid w:val="00122315"/>
    <w:rsid w:val="00122678"/>
    <w:rsid w:val="0012271C"/>
    <w:rsid w:val="00122A62"/>
    <w:rsid w:val="00122C68"/>
    <w:rsid w:val="00122DC5"/>
    <w:rsid w:val="00122F2A"/>
    <w:rsid w:val="00124303"/>
    <w:rsid w:val="001244FB"/>
    <w:rsid w:val="00124E5F"/>
    <w:rsid w:val="00125A5C"/>
    <w:rsid w:val="00125D34"/>
    <w:rsid w:val="00126357"/>
    <w:rsid w:val="00126922"/>
    <w:rsid w:val="00126EE1"/>
    <w:rsid w:val="00126F6B"/>
    <w:rsid w:val="00126FF5"/>
    <w:rsid w:val="0012758B"/>
    <w:rsid w:val="0012762A"/>
    <w:rsid w:val="00127787"/>
    <w:rsid w:val="00127A52"/>
    <w:rsid w:val="00127D14"/>
    <w:rsid w:val="00127EE0"/>
    <w:rsid w:val="0013040D"/>
    <w:rsid w:val="001306B6"/>
    <w:rsid w:val="001314E0"/>
    <w:rsid w:val="0013191D"/>
    <w:rsid w:val="00131E9D"/>
    <w:rsid w:val="001328A5"/>
    <w:rsid w:val="00132A5D"/>
    <w:rsid w:val="001331BF"/>
    <w:rsid w:val="001343C8"/>
    <w:rsid w:val="00134527"/>
    <w:rsid w:val="00134848"/>
    <w:rsid w:val="00134D71"/>
    <w:rsid w:val="00134F77"/>
    <w:rsid w:val="00136299"/>
    <w:rsid w:val="00136731"/>
    <w:rsid w:val="00136D0F"/>
    <w:rsid w:val="00137331"/>
    <w:rsid w:val="00137AB8"/>
    <w:rsid w:val="00137EF9"/>
    <w:rsid w:val="00137FC0"/>
    <w:rsid w:val="00140110"/>
    <w:rsid w:val="00140525"/>
    <w:rsid w:val="001416E8"/>
    <w:rsid w:val="00141A63"/>
    <w:rsid w:val="001424CD"/>
    <w:rsid w:val="00143069"/>
    <w:rsid w:val="001430C2"/>
    <w:rsid w:val="00143366"/>
    <w:rsid w:val="0014346D"/>
    <w:rsid w:val="00143AF2"/>
    <w:rsid w:val="00143F34"/>
    <w:rsid w:val="0014443C"/>
    <w:rsid w:val="00144F3B"/>
    <w:rsid w:val="001450FB"/>
    <w:rsid w:val="001451EA"/>
    <w:rsid w:val="00145265"/>
    <w:rsid w:val="0014557B"/>
    <w:rsid w:val="00146119"/>
    <w:rsid w:val="001461C5"/>
    <w:rsid w:val="001462D1"/>
    <w:rsid w:val="00146B10"/>
    <w:rsid w:val="001472F9"/>
    <w:rsid w:val="00147696"/>
    <w:rsid w:val="00147915"/>
    <w:rsid w:val="00147FE9"/>
    <w:rsid w:val="0015087B"/>
    <w:rsid w:val="00150AF6"/>
    <w:rsid w:val="00150B59"/>
    <w:rsid w:val="001524FE"/>
    <w:rsid w:val="0015358E"/>
    <w:rsid w:val="00153C34"/>
    <w:rsid w:val="00153D9D"/>
    <w:rsid w:val="00153F04"/>
    <w:rsid w:val="001541BA"/>
    <w:rsid w:val="00154C3B"/>
    <w:rsid w:val="00154C57"/>
    <w:rsid w:val="00155E6E"/>
    <w:rsid w:val="001568EE"/>
    <w:rsid w:val="00157252"/>
    <w:rsid w:val="001574E1"/>
    <w:rsid w:val="00157510"/>
    <w:rsid w:val="00157785"/>
    <w:rsid w:val="00157EB0"/>
    <w:rsid w:val="0016025C"/>
    <w:rsid w:val="00160728"/>
    <w:rsid w:val="00160B2C"/>
    <w:rsid w:val="00160DB7"/>
    <w:rsid w:val="001617DA"/>
    <w:rsid w:val="00161A09"/>
    <w:rsid w:val="001622F7"/>
    <w:rsid w:val="00162944"/>
    <w:rsid w:val="00162B38"/>
    <w:rsid w:val="00163AAD"/>
    <w:rsid w:val="0016420C"/>
    <w:rsid w:val="0016585F"/>
    <w:rsid w:val="00165996"/>
    <w:rsid w:val="00165A72"/>
    <w:rsid w:val="00165DFE"/>
    <w:rsid w:val="0016621F"/>
    <w:rsid w:val="0016623C"/>
    <w:rsid w:val="00166399"/>
    <w:rsid w:val="00166953"/>
    <w:rsid w:val="00166A2E"/>
    <w:rsid w:val="00166A67"/>
    <w:rsid w:val="00167646"/>
    <w:rsid w:val="00167950"/>
    <w:rsid w:val="001679F5"/>
    <w:rsid w:val="00167D43"/>
    <w:rsid w:val="001706E9"/>
    <w:rsid w:val="001712F9"/>
    <w:rsid w:val="00172757"/>
    <w:rsid w:val="00172A1B"/>
    <w:rsid w:val="00172A27"/>
    <w:rsid w:val="00172C6D"/>
    <w:rsid w:val="00173186"/>
    <w:rsid w:val="00173813"/>
    <w:rsid w:val="00173CD0"/>
    <w:rsid w:val="00174C1B"/>
    <w:rsid w:val="00175CB0"/>
    <w:rsid w:val="00175F8B"/>
    <w:rsid w:val="00176243"/>
    <w:rsid w:val="001762AD"/>
    <w:rsid w:val="001764B9"/>
    <w:rsid w:val="00176541"/>
    <w:rsid w:val="00176677"/>
    <w:rsid w:val="00176AF7"/>
    <w:rsid w:val="00176E8C"/>
    <w:rsid w:val="00176FA9"/>
    <w:rsid w:val="00177180"/>
    <w:rsid w:val="0017751F"/>
    <w:rsid w:val="00177866"/>
    <w:rsid w:val="00180863"/>
    <w:rsid w:val="001809FF"/>
    <w:rsid w:val="00181336"/>
    <w:rsid w:val="00182E23"/>
    <w:rsid w:val="00183158"/>
    <w:rsid w:val="001831A9"/>
    <w:rsid w:val="001838DE"/>
    <w:rsid w:val="00183FDE"/>
    <w:rsid w:val="001844A7"/>
    <w:rsid w:val="00184717"/>
    <w:rsid w:val="001848D4"/>
    <w:rsid w:val="001849E9"/>
    <w:rsid w:val="00185093"/>
    <w:rsid w:val="001850C1"/>
    <w:rsid w:val="00185740"/>
    <w:rsid w:val="00185884"/>
    <w:rsid w:val="00185C80"/>
    <w:rsid w:val="00185D06"/>
    <w:rsid w:val="00186DD3"/>
    <w:rsid w:val="001871C6"/>
    <w:rsid w:val="001876E7"/>
    <w:rsid w:val="00187ACB"/>
    <w:rsid w:val="001909E7"/>
    <w:rsid w:val="00191236"/>
    <w:rsid w:val="00191727"/>
    <w:rsid w:val="00191934"/>
    <w:rsid w:val="00191D50"/>
    <w:rsid w:val="00191DEF"/>
    <w:rsid w:val="00192594"/>
    <w:rsid w:val="001926E6"/>
    <w:rsid w:val="001928B9"/>
    <w:rsid w:val="00192CDC"/>
    <w:rsid w:val="00193096"/>
    <w:rsid w:val="001931F9"/>
    <w:rsid w:val="00193E7B"/>
    <w:rsid w:val="00193EC5"/>
    <w:rsid w:val="00193EF8"/>
    <w:rsid w:val="001941AF"/>
    <w:rsid w:val="001941D2"/>
    <w:rsid w:val="001941E5"/>
    <w:rsid w:val="001945EF"/>
    <w:rsid w:val="001948AE"/>
    <w:rsid w:val="001957B3"/>
    <w:rsid w:val="00195802"/>
    <w:rsid w:val="00195875"/>
    <w:rsid w:val="00195A6D"/>
    <w:rsid w:val="00195E08"/>
    <w:rsid w:val="00195FBA"/>
    <w:rsid w:val="00196271"/>
    <w:rsid w:val="00196C95"/>
    <w:rsid w:val="00196E67"/>
    <w:rsid w:val="00197132"/>
    <w:rsid w:val="001973C6"/>
    <w:rsid w:val="001975BF"/>
    <w:rsid w:val="00197E28"/>
    <w:rsid w:val="001A057F"/>
    <w:rsid w:val="001A066A"/>
    <w:rsid w:val="001A0A83"/>
    <w:rsid w:val="001A0C5C"/>
    <w:rsid w:val="001A103B"/>
    <w:rsid w:val="001A140F"/>
    <w:rsid w:val="001A1511"/>
    <w:rsid w:val="001A1513"/>
    <w:rsid w:val="001A1C9F"/>
    <w:rsid w:val="001A1D43"/>
    <w:rsid w:val="001A2366"/>
    <w:rsid w:val="001A23CD"/>
    <w:rsid w:val="001A29D0"/>
    <w:rsid w:val="001A2B11"/>
    <w:rsid w:val="001A31F3"/>
    <w:rsid w:val="001A354F"/>
    <w:rsid w:val="001A36D3"/>
    <w:rsid w:val="001A3BD9"/>
    <w:rsid w:val="001A3CEF"/>
    <w:rsid w:val="001A412F"/>
    <w:rsid w:val="001A47E9"/>
    <w:rsid w:val="001A4D6A"/>
    <w:rsid w:val="001A55AF"/>
    <w:rsid w:val="001A5DBB"/>
    <w:rsid w:val="001A664A"/>
    <w:rsid w:val="001A6759"/>
    <w:rsid w:val="001A6AB7"/>
    <w:rsid w:val="001A6C17"/>
    <w:rsid w:val="001A6CA2"/>
    <w:rsid w:val="001A6D06"/>
    <w:rsid w:val="001A6EB3"/>
    <w:rsid w:val="001A7DC0"/>
    <w:rsid w:val="001B07C2"/>
    <w:rsid w:val="001B0FEF"/>
    <w:rsid w:val="001B12F7"/>
    <w:rsid w:val="001B147F"/>
    <w:rsid w:val="001B15D5"/>
    <w:rsid w:val="001B1E7C"/>
    <w:rsid w:val="001B206A"/>
    <w:rsid w:val="001B2A63"/>
    <w:rsid w:val="001B3550"/>
    <w:rsid w:val="001B3891"/>
    <w:rsid w:val="001B3A01"/>
    <w:rsid w:val="001B3F8E"/>
    <w:rsid w:val="001B3FAB"/>
    <w:rsid w:val="001B449C"/>
    <w:rsid w:val="001B4887"/>
    <w:rsid w:val="001B49D2"/>
    <w:rsid w:val="001B4F0A"/>
    <w:rsid w:val="001B50EC"/>
    <w:rsid w:val="001B5784"/>
    <w:rsid w:val="001B6258"/>
    <w:rsid w:val="001B649C"/>
    <w:rsid w:val="001B68D9"/>
    <w:rsid w:val="001B775D"/>
    <w:rsid w:val="001B79BF"/>
    <w:rsid w:val="001B7AF3"/>
    <w:rsid w:val="001C06C3"/>
    <w:rsid w:val="001C0A8F"/>
    <w:rsid w:val="001C1489"/>
    <w:rsid w:val="001C18CA"/>
    <w:rsid w:val="001C1A69"/>
    <w:rsid w:val="001C2042"/>
    <w:rsid w:val="001C26B7"/>
    <w:rsid w:val="001C2867"/>
    <w:rsid w:val="001C28A5"/>
    <w:rsid w:val="001C2981"/>
    <w:rsid w:val="001C2B97"/>
    <w:rsid w:val="001C2CD0"/>
    <w:rsid w:val="001C4D1D"/>
    <w:rsid w:val="001C555C"/>
    <w:rsid w:val="001C56A5"/>
    <w:rsid w:val="001C5DF3"/>
    <w:rsid w:val="001C5EE7"/>
    <w:rsid w:val="001C5F20"/>
    <w:rsid w:val="001C61AA"/>
    <w:rsid w:val="001C6238"/>
    <w:rsid w:val="001C627C"/>
    <w:rsid w:val="001C65D3"/>
    <w:rsid w:val="001C69DD"/>
    <w:rsid w:val="001C6B7C"/>
    <w:rsid w:val="001C6F20"/>
    <w:rsid w:val="001C717B"/>
    <w:rsid w:val="001C777F"/>
    <w:rsid w:val="001C7855"/>
    <w:rsid w:val="001D0290"/>
    <w:rsid w:val="001D0760"/>
    <w:rsid w:val="001D0E62"/>
    <w:rsid w:val="001D1010"/>
    <w:rsid w:val="001D14BE"/>
    <w:rsid w:val="001D152E"/>
    <w:rsid w:val="001D1F6A"/>
    <w:rsid w:val="001D20E4"/>
    <w:rsid w:val="001D22D6"/>
    <w:rsid w:val="001D26D8"/>
    <w:rsid w:val="001D2CFA"/>
    <w:rsid w:val="001D2D20"/>
    <w:rsid w:val="001D3257"/>
    <w:rsid w:val="001D326A"/>
    <w:rsid w:val="001D35C1"/>
    <w:rsid w:val="001D3981"/>
    <w:rsid w:val="001D447B"/>
    <w:rsid w:val="001D4696"/>
    <w:rsid w:val="001D4769"/>
    <w:rsid w:val="001D556C"/>
    <w:rsid w:val="001D6624"/>
    <w:rsid w:val="001D6E53"/>
    <w:rsid w:val="001D7253"/>
    <w:rsid w:val="001D7E83"/>
    <w:rsid w:val="001E0308"/>
    <w:rsid w:val="001E12EF"/>
    <w:rsid w:val="001E16C3"/>
    <w:rsid w:val="001E19F8"/>
    <w:rsid w:val="001E26E7"/>
    <w:rsid w:val="001E2D20"/>
    <w:rsid w:val="001E31B6"/>
    <w:rsid w:val="001E394B"/>
    <w:rsid w:val="001E3CC9"/>
    <w:rsid w:val="001E3D1E"/>
    <w:rsid w:val="001E4415"/>
    <w:rsid w:val="001E4802"/>
    <w:rsid w:val="001E4C06"/>
    <w:rsid w:val="001E5177"/>
    <w:rsid w:val="001E523E"/>
    <w:rsid w:val="001E5358"/>
    <w:rsid w:val="001E56BC"/>
    <w:rsid w:val="001E6253"/>
    <w:rsid w:val="001E658C"/>
    <w:rsid w:val="001E67C6"/>
    <w:rsid w:val="001E69B4"/>
    <w:rsid w:val="001E6E5D"/>
    <w:rsid w:val="001E6EEB"/>
    <w:rsid w:val="001E7210"/>
    <w:rsid w:val="001E73BD"/>
    <w:rsid w:val="001E743C"/>
    <w:rsid w:val="001E74AC"/>
    <w:rsid w:val="001F0372"/>
    <w:rsid w:val="001F07BF"/>
    <w:rsid w:val="001F0BEA"/>
    <w:rsid w:val="001F1397"/>
    <w:rsid w:val="001F1C24"/>
    <w:rsid w:val="001F22BB"/>
    <w:rsid w:val="001F249D"/>
    <w:rsid w:val="001F2C89"/>
    <w:rsid w:val="001F37A5"/>
    <w:rsid w:val="001F396B"/>
    <w:rsid w:val="001F3EC5"/>
    <w:rsid w:val="001F448E"/>
    <w:rsid w:val="001F463D"/>
    <w:rsid w:val="001F4BD7"/>
    <w:rsid w:val="001F4D59"/>
    <w:rsid w:val="001F5926"/>
    <w:rsid w:val="001F5B14"/>
    <w:rsid w:val="001F5DE1"/>
    <w:rsid w:val="001F6568"/>
    <w:rsid w:val="001F6C95"/>
    <w:rsid w:val="001F6DA5"/>
    <w:rsid w:val="001F7199"/>
    <w:rsid w:val="001F75BB"/>
    <w:rsid w:val="001F76BC"/>
    <w:rsid w:val="001F7B8E"/>
    <w:rsid w:val="00200034"/>
    <w:rsid w:val="00200287"/>
    <w:rsid w:val="00200559"/>
    <w:rsid w:val="0020057F"/>
    <w:rsid w:val="002005CA"/>
    <w:rsid w:val="00200826"/>
    <w:rsid w:val="00200833"/>
    <w:rsid w:val="00200A4D"/>
    <w:rsid w:val="0020261F"/>
    <w:rsid w:val="00203382"/>
    <w:rsid w:val="00203A60"/>
    <w:rsid w:val="00203FC4"/>
    <w:rsid w:val="002044CB"/>
    <w:rsid w:val="00204944"/>
    <w:rsid w:val="002049B8"/>
    <w:rsid w:val="00204DBA"/>
    <w:rsid w:val="00205B50"/>
    <w:rsid w:val="00206116"/>
    <w:rsid w:val="00206594"/>
    <w:rsid w:val="002076C9"/>
    <w:rsid w:val="00207731"/>
    <w:rsid w:val="00207DEA"/>
    <w:rsid w:val="00210228"/>
    <w:rsid w:val="002103B3"/>
    <w:rsid w:val="002117D1"/>
    <w:rsid w:val="00211B64"/>
    <w:rsid w:val="00211FC6"/>
    <w:rsid w:val="00212FD7"/>
    <w:rsid w:val="002139E2"/>
    <w:rsid w:val="0021476F"/>
    <w:rsid w:val="00214D58"/>
    <w:rsid w:val="00214D60"/>
    <w:rsid w:val="00214EB8"/>
    <w:rsid w:val="0021504D"/>
    <w:rsid w:val="002150C6"/>
    <w:rsid w:val="0021598C"/>
    <w:rsid w:val="00215CF3"/>
    <w:rsid w:val="002164B5"/>
    <w:rsid w:val="00216CB2"/>
    <w:rsid w:val="002173BB"/>
    <w:rsid w:val="0021741D"/>
    <w:rsid w:val="00217683"/>
    <w:rsid w:val="002201BE"/>
    <w:rsid w:val="002204E1"/>
    <w:rsid w:val="00220638"/>
    <w:rsid w:val="002207E3"/>
    <w:rsid w:val="0022088E"/>
    <w:rsid w:val="002210C6"/>
    <w:rsid w:val="00221462"/>
    <w:rsid w:val="0022220A"/>
    <w:rsid w:val="0022234D"/>
    <w:rsid w:val="002227D8"/>
    <w:rsid w:val="0022283C"/>
    <w:rsid w:val="00222D73"/>
    <w:rsid w:val="00222E82"/>
    <w:rsid w:val="002230F0"/>
    <w:rsid w:val="00223281"/>
    <w:rsid w:val="00223AD6"/>
    <w:rsid w:val="00223BAC"/>
    <w:rsid w:val="00223D6F"/>
    <w:rsid w:val="00224242"/>
    <w:rsid w:val="00224297"/>
    <w:rsid w:val="00224AF4"/>
    <w:rsid w:val="0022515F"/>
    <w:rsid w:val="002255EE"/>
    <w:rsid w:val="0022568D"/>
    <w:rsid w:val="002259AF"/>
    <w:rsid w:val="00225D67"/>
    <w:rsid w:val="00225E82"/>
    <w:rsid w:val="00225F9E"/>
    <w:rsid w:val="002263AD"/>
    <w:rsid w:val="002263F6"/>
    <w:rsid w:val="0022658B"/>
    <w:rsid w:val="002267A9"/>
    <w:rsid w:val="00226A36"/>
    <w:rsid w:val="00226C57"/>
    <w:rsid w:val="00226CD6"/>
    <w:rsid w:val="00226F1D"/>
    <w:rsid w:val="002278F8"/>
    <w:rsid w:val="002301DD"/>
    <w:rsid w:val="0023022F"/>
    <w:rsid w:val="00230EF7"/>
    <w:rsid w:val="00231295"/>
    <w:rsid w:val="00231B73"/>
    <w:rsid w:val="00231E6D"/>
    <w:rsid w:val="002322D5"/>
    <w:rsid w:val="00233472"/>
    <w:rsid w:val="00233B86"/>
    <w:rsid w:val="00233E4A"/>
    <w:rsid w:val="002340BE"/>
    <w:rsid w:val="002342CE"/>
    <w:rsid w:val="0023491F"/>
    <w:rsid w:val="0023534C"/>
    <w:rsid w:val="0023566A"/>
    <w:rsid w:val="00235D0C"/>
    <w:rsid w:val="002365E3"/>
    <w:rsid w:val="00236A15"/>
    <w:rsid w:val="00237037"/>
    <w:rsid w:val="00237296"/>
    <w:rsid w:val="00240068"/>
    <w:rsid w:val="0024022A"/>
    <w:rsid w:val="002405C0"/>
    <w:rsid w:val="0024060F"/>
    <w:rsid w:val="00241AD3"/>
    <w:rsid w:val="002421DC"/>
    <w:rsid w:val="002421E4"/>
    <w:rsid w:val="002423D5"/>
    <w:rsid w:val="002426F3"/>
    <w:rsid w:val="0024279A"/>
    <w:rsid w:val="00242CE8"/>
    <w:rsid w:val="00243015"/>
    <w:rsid w:val="00243B33"/>
    <w:rsid w:val="00243D2E"/>
    <w:rsid w:val="00244055"/>
    <w:rsid w:val="00244CDB"/>
    <w:rsid w:val="00245093"/>
    <w:rsid w:val="0024517E"/>
    <w:rsid w:val="002452A0"/>
    <w:rsid w:val="00245C77"/>
    <w:rsid w:val="00245DC3"/>
    <w:rsid w:val="00245DCD"/>
    <w:rsid w:val="0024649B"/>
    <w:rsid w:val="00246970"/>
    <w:rsid w:val="00246B0D"/>
    <w:rsid w:val="00247218"/>
    <w:rsid w:val="002472BA"/>
    <w:rsid w:val="00247711"/>
    <w:rsid w:val="00247A36"/>
    <w:rsid w:val="00247F6A"/>
    <w:rsid w:val="0025081F"/>
    <w:rsid w:val="00250AD2"/>
    <w:rsid w:val="00251379"/>
    <w:rsid w:val="00251445"/>
    <w:rsid w:val="00251680"/>
    <w:rsid w:val="00252585"/>
    <w:rsid w:val="00252824"/>
    <w:rsid w:val="00253536"/>
    <w:rsid w:val="00254003"/>
    <w:rsid w:val="00255779"/>
    <w:rsid w:val="0025611F"/>
    <w:rsid w:val="00256273"/>
    <w:rsid w:val="00256391"/>
    <w:rsid w:val="002571E4"/>
    <w:rsid w:val="002575F4"/>
    <w:rsid w:val="00257999"/>
    <w:rsid w:val="00257EE8"/>
    <w:rsid w:val="00260382"/>
    <w:rsid w:val="00260597"/>
    <w:rsid w:val="00260828"/>
    <w:rsid w:val="002613F5"/>
    <w:rsid w:val="00263363"/>
    <w:rsid w:val="0026367B"/>
    <w:rsid w:val="00263DB2"/>
    <w:rsid w:val="002641D0"/>
    <w:rsid w:val="00264577"/>
    <w:rsid w:val="00264F2F"/>
    <w:rsid w:val="002655F3"/>
    <w:rsid w:val="00266E2C"/>
    <w:rsid w:val="00267248"/>
    <w:rsid w:val="00267756"/>
    <w:rsid w:val="00267A3C"/>
    <w:rsid w:val="00267CEC"/>
    <w:rsid w:val="00267F41"/>
    <w:rsid w:val="00270629"/>
    <w:rsid w:val="002707B9"/>
    <w:rsid w:val="00270C81"/>
    <w:rsid w:val="00270F77"/>
    <w:rsid w:val="002711F2"/>
    <w:rsid w:val="00271B0E"/>
    <w:rsid w:val="00271F38"/>
    <w:rsid w:val="00272219"/>
    <w:rsid w:val="00272A94"/>
    <w:rsid w:val="002739EF"/>
    <w:rsid w:val="00273A8F"/>
    <w:rsid w:val="00273FFF"/>
    <w:rsid w:val="0027434D"/>
    <w:rsid w:val="002749E9"/>
    <w:rsid w:val="00274E64"/>
    <w:rsid w:val="0027527C"/>
    <w:rsid w:val="002754C5"/>
    <w:rsid w:val="002754C6"/>
    <w:rsid w:val="002755AF"/>
    <w:rsid w:val="00275954"/>
    <w:rsid w:val="00275F10"/>
    <w:rsid w:val="00277518"/>
    <w:rsid w:val="002778AB"/>
    <w:rsid w:val="00280AF5"/>
    <w:rsid w:val="00280C23"/>
    <w:rsid w:val="00281885"/>
    <w:rsid w:val="00281A01"/>
    <w:rsid w:val="00281A36"/>
    <w:rsid w:val="00281A43"/>
    <w:rsid w:val="00281BBA"/>
    <w:rsid w:val="00282022"/>
    <w:rsid w:val="002824C8"/>
    <w:rsid w:val="00282AD7"/>
    <w:rsid w:val="002835FB"/>
    <w:rsid w:val="0028405B"/>
    <w:rsid w:val="0028468A"/>
    <w:rsid w:val="0028638D"/>
    <w:rsid w:val="00286786"/>
    <w:rsid w:val="002878E6"/>
    <w:rsid w:val="00287A21"/>
    <w:rsid w:val="00287ABF"/>
    <w:rsid w:val="00287AE8"/>
    <w:rsid w:val="002902FF"/>
    <w:rsid w:val="0029035D"/>
    <w:rsid w:val="002905F5"/>
    <w:rsid w:val="00290FF1"/>
    <w:rsid w:val="00291067"/>
    <w:rsid w:val="00291EFC"/>
    <w:rsid w:val="00292902"/>
    <w:rsid w:val="00292A19"/>
    <w:rsid w:val="00292A3B"/>
    <w:rsid w:val="00292D91"/>
    <w:rsid w:val="00293163"/>
    <w:rsid w:val="002933D7"/>
    <w:rsid w:val="00293A1A"/>
    <w:rsid w:val="00293D4C"/>
    <w:rsid w:val="002953CF"/>
    <w:rsid w:val="00295480"/>
    <w:rsid w:val="002960E1"/>
    <w:rsid w:val="002968B5"/>
    <w:rsid w:val="002969D6"/>
    <w:rsid w:val="00296C07"/>
    <w:rsid w:val="0029766F"/>
    <w:rsid w:val="00297A96"/>
    <w:rsid w:val="00297BAA"/>
    <w:rsid w:val="00297CBD"/>
    <w:rsid w:val="00297FB3"/>
    <w:rsid w:val="002A0AF0"/>
    <w:rsid w:val="002A0C73"/>
    <w:rsid w:val="002A1725"/>
    <w:rsid w:val="002A1D6F"/>
    <w:rsid w:val="002A22C4"/>
    <w:rsid w:val="002A285C"/>
    <w:rsid w:val="002A28AD"/>
    <w:rsid w:val="002A3654"/>
    <w:rsid w:val="002A3875"/>
    <w:rsid w:val="002A38C0"/>
    <w:rsid w:val="002A3F94"/>
    <w:rsid w:val="002A43DD"/>
    <w:rsid w:val="002A4A05"/>
    <w:rsid w:val="002A59A3"/>
    <w:rsid w:val="002A5B99"/>
    <w:rsid w:val="002A606D"/>
    <w:rsid w:val="002A7C16"/>
    <w:rsid w:val="002B03E8"/>
    <w:rsid w:val="002B10C7"/>
    <w:rsid w:val="002B13A8"/>
    <w:rsid w:val="002B1563"/>
    <w:rsid w:val="002B1D63"/>
    <w:rsid w:val="002B23BB"/>
    <w:rsid w:val="002B2937"/>
    <w:rsid w:val="002B2A12"/>
    <w:rsid w:val="002B317D"/>
    <w:rsid w:val="002B31BF"/>
    <w:rsid w:val="002B3552"/>
    <w:rsid w:val="002B36A9"/>
    <w:rsid w:val="002B36AD"/>
    <w:rsid w:val="002B3745"/>
    <w:rsid w:val="002B3992"/>
    <w:rsid w:val="002B45E9"/>
    <w:rsid w:val="002B46E0"/>
    <w:rsid w:val="002B4B27"/>
    <w:rsid w:val="002B52AC"/>
    <w:rsid w:val="002B552E"/>
    <w:rsid w:val="002B5685"/>
    <w:rsid w:val="002B5978"/>
    <w:rsid w:val="002B5ADF"/>
    <w:rsid w:val="002B5C2C"/>
    <w:rsid w:val="002B5DCD"/>
    <w:rsid w:val="002B6609"/>
    <w:rsid w:val="002B6739"/>
    <w:rsid w:val="002B69C3"/>
    <w:rsid w:val="002B6BEB"/>
    <w:rsid w:val="002B7007"/>
    <w:rsid w:val="002B75F0"/>
    <w:rsid w:val="002B7636"/>
    <w:rsid w:val="002C0129"/>
    <w:rsid w:val="002C087C"/>
    <w:rsid w:val="002C09E1"/>
    <w:rsid w:val="002C0A4F"/>
    <w:rsid w:val="002C0CEC"/>
    <w:rsid w:val="002C1459"/>
    <w:rsid w:val="002C156B"/>
    <w:rsid w:val="002C165A"/>
    <w:rsid w:val="002C1D11"/>
    <w:rsid w:val="002C1FCF"/>
    <w:rsid w:val="002C2A73"/>
    <w:rsid w:val="002C30BA"/>
    <w:rsid w:val="002C4047"/>
    <w:rsid w:val="002C42E1"/>
    <w:rsid w:val="002C4631"/>
    <w:rsid w:val="002C463E"/>
    <w:rsid w:val="002C499E"/>
    <w:rsid w:val="002C4A1F"/>
    <w:rsid w:val="002C4CE2"/>
    <w:rsid w:val="002C549D"/>
    <w:rsid w:val="002C56E7"/>
    <w:rsid w:val="002C575A"/>
    <w:rsid w:val="002C6CFF"/>
    <w:rsid w:val="002C6E45"/>
    <w:rsid w:val="002C72F8"/>
    <w:rsid w:val="002C74D1"/>
    <w:rsid w:val="002C772F"/>
    <w:rsid w:val="002C7CF6"/>
    <w:rsid w:val="002C7DBF"/>
    <w:rsid w:val="002D04FA"/>
    <w:rsid w:val="002D0952"/>
    <w:rsid w:val="002D0F67"/>
    <w:rsid w:val="002D1B84"/>
    <w:rsid w:val="002D21AD"/>
    <w:rsid w:val="002D26C9"/>
    <w:rsid w:val="002D2D73"/>
    <w:rsid w:val="002D31A4"/>
    <w:rsid w:val="002D3C5F"/>
    <w:rsid w:val="002D4100"/>
    <w:rsid w:val="002D43F7"/>
    <w:rsid w:val="002D4465"/>
    <w:rsid w:val="002D468E"/>
    <w:rsid w:val="002D4B86"/>
    <w:rsid w:val="002D5A1F"/>
    <w:rsid w:val="002D5C66"/>
    <w:rsid w:val="002D5D7B"/>
    <w:rsid w:val="002D631B"/>
    <w:rsid w:val="002D6CDA"/>
    <w:rsid w:val="002D6F1C"/>
    <w:rsid w:val="002D702D"/>
    <w:rsid w:val="002D70DB"/>
    <w:rsid w:val="002D7BFA"/>
    <w:rsid w:val="002D7CCB"/>
    <w:rsid w:val="002D7D5D"/>
    <w:rsid w:val="002E1A70"/>
    <w:rsid w:val="002E20AE"/>
    <w:rsid w:val="002E283C"/>
    <w:rsid w:val="002E2B8D"/>
    <w:rsid w:val="002E2F3C"/>
    <w:rsid w:val="002E30A8"/>
    <w:rsid w:val="002E3265"/>
    <w:rsid w:val="002E3D8F"/>
    <w:rsid w:val="002E44F2"/>
    <w:rsid w:val="002E4D11"/>
    <w:rsid w:val="002E5BE1"/>
    <w:rsid w:val="002E5E67"/>
    <w:rsid w:val="002E67C7"/>
    <w:rsid w:val="002E74C4"/>
    <w:rsid w:val="002E75E7"/>
    <w:rsid w:val="002E7DD2"/>
    <w:rsid w:val="002F01E3"/>
    <w:rsid w:val="002F0380"/>
    <w:rsid w:val="002F0C91"/>
    <w:rsid w:val="002F0E8A"/>
    <w:rsid w:val="002F165E"/>
    <w:rsid w:val="002F17B6"/>
    <w:rsid w:val="002F1A5C"/>
    <w:rsid w:val="002F2046"/>
    <w:rsid w:val="002F2381"/>
    <w:rsid w:val="002F2798"/>
    <w:rsid w:val="002F2BE4"/>
    <w:rsid w:val="002F2F11"/>
    <w:rsid w:val="002F31EC"/>
    <w:rsid w:val="002F3349"/>
    <w:rsid w:val="002F3379"/>
    <w:rsid w:val="002F3398"/>
    <w:rsid w:val="002F33DF"/>
    <w:rsid w:val="002F3852"/>
    <w:rsid w:val="002F43DB"/>
    <w:rsid w:val="002F4BBD"/>
    <w:rsid w:val="002F5A62"/>
    <w:rsid w:val="002F6666"/>
    <w:rsid w:val="002F6D3F"/>
    <w:rsid w:val="002F6E09"/>
    <w:rsid w:val="002F748C"/>
    <w:rsid w:val="002F7C9F"/>
    <w:rsid w:val="00300090"/>
    <w:rsid w:val="003007AA"/>
    <w:rsid w:val="00300B05"/>
    <w:rsid w:val="00300CE8"/>
    <w:rsid w:val="00301488"/>
    <w:rsid w:val="003016FF"/>
    <w:rsid w:val="00302685"/>
    <w:rsid w:val="00302AA0"/>
    <w:rsid w:val="00302D0B"/>
    <w:rsid w:val="00303898"/>
    <w:rsid w:val="003039FF"/>
    <w:rsid w:val="00303A19"/>
    <w:rsid w:val="003042D4"/>
    <w:rsid w:val="00304CD9"/>
    <w:rsid w:val="00304F1D"/>
    <w:rsid w:val="0030543A"/>
    <w:rsid w:val="00305900"/>
    <w:rsid w:val="00305C7C"/>
    <w:rsid w:val="003061C6"/>
    <w:rsid w:val="003065F2"/>
    <w:rsid w:val="00307051"/>
    <w:rsid w:val="003077AF"/>
    <w:rsid w:val="003079DB"/>
    <w:rsid w:val="00307C78"/>
    <w:rsid w:val="00307F8C"/>
    <w:rsid w:val="00310AE0"/>
    <w:rsid w:val="003111A1"/>
    <w:rsid w:val="003111AD"/>
    <w:rsid w:val="003117CF"/>
    <w:rsid w:val="00311C0B"/>
    <w:rsid w:val="00313264"/>
    <w:rsid w:val="0031342E"/>
    <w:rsid w:val="00313A74"/>
    <w:rsid w:val="00313FE8"/>
    <w:rsid w:val="00314A78"/>
    <w:rsid w:val="00314C9E"/>
    <w:rsid w:val="00315533"/>
    <w:rsid w:val="00315E99"/>
    <w:rsid w:val="00316366"/>
    <w:rsid w:val="003167EB"/>
    <w:rsid w:val="00316B75"/>
    <w:rsid w:val="00316E42"/>
    <w:rsid w:val="00320CA4"/>
    <w:rsid w:val="00321008"/>
    <w:rsid w:val="0032111C"/>
    <w:rsid w:val="003213CF"/>
    <w:rsid w:val="003214BA"/>
    <w:rsid w:val="003217EB"/>
    <w:rsid w:val="00322431"/>
    <w:rsid w:val="003224A5"/>
    <w:rsid w:val="00322CA6"/>
    <w:rsid w:val="00323875"/>
    <w:rsid w:val="00323AF0"/>
    <w:rsid w:val="0032404E"/>
    <w:rsid w:val="003245E3"/>
    <w:rsid w:val="003249A7"/>
    <w:rsid w:val="00324C64"/>
    <w:rsid w:val="00325219"/>
    <w:rsid w:val="003252DD"/>
    <w:rsid w:val="00326498"/>
    <w:rsid w:val="003271C0"/>
    <w:rsid w:val="003273E9"/>
    <w:rsid w:val="00327F1C"/>
    <w:rsid w:val="00330429"/>
    <w:rsid w:val="00330A66"/>
    <w:rsid w:val="00331191"/>
    <w:rsid w:val="0033190B"/>
    <w:rsid w:val="00331B19"/>
    <w:rsid w:val="003321B9"/>
    <w:rsid w:val="00332958"/>
    <w:rsid w:val="00332B6A"/>
    <w:rsid w:val="00332CE5"/>
    <w:rsid w:val="00332CF7"/>
    <w:rsid w:val="00333730"/>
    <w:rsid w:val="00334DAC"/>
    <w:rsid w:val="003365A4"/>
    <w:rsid w:val="003366A2"/>
    <w:rsid w:val="003373FA"/>
    <w:rsid w:val="003379B3"/>
    <w:rsid w:val="00337C62"/>
    <w:rsid w:val="00340344"/>
    <w:rsid w:val="003405BD"/>
    <w:rsid w:val="00340999"/>
    <w:rsid w:val="00340B33"/>
    <w:rsid w:val="00340B42"/>
    <w:rsid w:val="00340CC9"/>
    <w:rsid w:val="003410FA"/>
    <w:rsid w:val="003414A5"/>
    <w:rsid w:val="00341646"/>
    <w:rsid w:val="003418F0"/>
    <w:rsid w:val="00343085"/>
    <w:rsid w:val="003431D9"/>
    <w:rsid w:val="00344963"/>
    <w:rsid w:val="00344A96"/>
    <w:rsid w:val="00344F4B"/>
    <w:rsid w:val="00345344"/>
    <w:rsid w:val="00346484"/>
    <w:rsid w:val="003465DB"/>
    <w:rsid w:val="00347251"/>
    <w:rsid w:val="003476B2"/>
    <w:rsid w:val="003500E9"/>
    <w:rsid w:val="00350C32"/>
    <w:rsid w:val="00350EE0"/>
    <w:rsid w:val="00350F42"/>
    <w:rsid w:val="00350FB5"/>
    <w:rsid w:val="00350FC1"/>
    <w:rsid w:val="003515BA"/>
    <w:rsid w:val="00351BFA"/>
    <w:rsid w:val="00352196"/>
    <w:rsid w:val="003526A7"/>
    <w:rsid w:val="003527A2"/>
    <w:rsid w:val="003530D8"/>
    <w:rsid w:val="00353929"/>
    <w:rsid w:val="00353C3D"/>
    <w:rsid w:val="003543CF"/>
    <w:rsid w:val="00354753"/>
    <w:rsid w:val="00355B5E"/>
    <w:rsid w:val="00355CF2"/>
    <w:rsid w:val="00355EF4"/>
    <w:rsid w:val="00356479"/>
    <w:rsid w:val="003566D0"/>
    <w:rsid w:val="00356727"/>
    <w:rsid w:val="00356ACE"/>
    <w:rsid w:val="00356B5B"/>
    <w:rsid w:val="00356DDF"/>
    <w:rsid w:val="003572EC"/>
    <w:rsid w:val="0035732B"/>
    <w:rsid w:val="003574BC"/>
    <w:rsid w:val="00357855"/>
    <w:rsid w:val="00357A5E"/>
    <w:rsid w:val="00360099"/>
    <w:rsid w:val="00360BC2"/>
    <w:rsid w:val="00360F8F"/>
    <w:rsid w:val="00361802"/>
    <w:rsid w:val="00361D8D"/>
    <w:rsid w:val="003620ED"/>
    <w:rsid w:val="00362B40"/>
    <w:rsid w:val="003632D9"/>
    <w:rsid w:val="00363A85"/>
    <w:rsid w:val="00363FF5"/>
    <w:rsid w:val="00364B9C"/>
    <w:rsid w:val="00364C0C"/>
    <w:rsid w:val="0036508F"/>
    <w:rsid w:val="003654A1"/>
    <w:rsid w:val="003654B8"/>
    <w:rsid w:val="0036585B"/>
    <w:rsid w:val="00365B91"/>
    <w:rsid w:val="00365EBA"/>
    <w:rsid w:val="0036607F"/>
    <w:rsid w:val="00366750"/>
    <w:rsid w:val="00366F2F"/>
    <w:rsid w:val="00366F64"/>
    <w:rsid w:val="003670C7"/>
    <w:rsid w:val="00367496"/>
    <w:rsid w:val="00367E23"/>
    <w:rsid w:val="00367EA2"/>
    <w:rsid w:val="00367FAA"/>
    <w:rsid w:val="00370237"/>
    <w:rsid w:val="0037045B"/>
    <w:rsid w:val="0037086F"/>
    <w:rsid w:val="0037146D"/>
    <w:rsid w:val="0037147A"/>
    <w:rsid w:val="00371A6D"/>
    <w:rsid w:val="0037259F"/>
    <w:rsid w:val="00372661"/>
    <w:rsid w:val="00372756"/>
    <w:rsid w:val="00373411"/>
    <w:rsid w:val="003738FC"/>
    <w:rsid w:val="003745AD"/>
    <w:rsid w:val="0037496D"/>
    <w:rsid w:val="00375B46"/>
    <w:rsid w:val="00375FA4"/>
    <w:rsid w:val="003760F9"/>
    <w:rsid w:val="00376145"/>
    <w:rsid w:val="00376563"/>
    <w:rsid w:val="0037660E"/>
    <w:rsid w:val="00376E03"/>
    <w:rsid w:val="00377481"/>
    <w:rsid w:val="0037757F"/>
    <w:rsid w:val="00377FE2"/>
    <w:rsid w:val="003803D7"/>
    <w:rsid w:val="003815D1"/>
    <w:rsid w:val="00381B56"/>
    <w:rsid w:val="003824F7"/>
    <w:rsid w:val="003825EC"/>
    <w:rsid w:val="0038283D"/>
    <w:rsid w:val="003828F7"/>
    <w:rsid w:val="00382D67"/>
    <w:rsid w:val="00382DC9"/>
    <w:rsid w:val="003833FA"/>
    <w:rsid w:val="003840E3"/>
    <w:rsid w:val="003841B1"/>
    <w:rsid w:val="003841C7"/>
    <w:rsid w:val="003843BC"/>
    <w:rsid w:val="0038490D"/>
    <w:rsid w:val="0038504E"/>
    <w:rsid w:val="00385208"/>
    <w:rsid w:val="003853BF"/>
    <w:rsid w:val="003857FA"/>
    <w:rsid w:val="003858BC"/>
    <w:rsid w:val="00385B15"/>
    <w:rsid w:val="003864EE"/>
    <w:rsid w:val="00386C14"/>
    <w:rsid w:val="00387FAF"/>
    <w:rsid w:val="00390587"/>
    <w:rsid w:val="00390748"/>
    <w:rsid w:val="00390963"/>
    <w:rsid w:val="00390BB0"/>
    <w:rsid w:val="00390F41"/>
    <w:rsid w:val="003911EE"/>
    <w:rsid w:val="00391216"/>
    <w:rsid w:val="00391380"/>
    <w:rsid w:val="003919A5"/>
    <w:rsid w:val="00391E36"/>
    <w:rsid w:val="0039201E"/>
    <w:rsid w:val="00392349"/>
    <w:rsid w:val="003924B4"/>
    <w:rsid w:val="0039373C"/>
    <w:rsid w:val="00393750"/>
    <w:rsid w:val="00393AF3"/>
    <w:rsid w:val="00393C66"/>
    <w:rsid w:val="00393ECE"/>
    <w:rsid w:val="003944F9"/>
    <w:rsid w:val="00394E04"/>
    <w:rsid w:val="003959E2"/>
    <w:rsid w:val="00395CFA"/>
    <w:rsid w:val="0039705F"/>
    <w:rsid w:val="0039737E"/>
    <w:rsid w:val="003975F0"/>
    <w:rsid w:val="00397E59"/>
    <w:rsid w:val="003A0243"/>
    <w:rsid w:val="003A0F1D"/>
    <w:rsid w:val="003A0F77"/>
    <w:rsid w:val="003A1215"/>
    <w:rsid w:val="003A12C0"/>
    <w:rsid w:val="003A18DB"/>
    <w:rsid w:val="003A2147"/>
    <w:rsid w:val="003A34D5"/>
    <w:rsid w:val="003A3922"/>
    <w:rsid w:val="003A3991"/>
    <w:rsid w:val="003A3A19"/>
    <w:rsid w:val="003A3A95"/>
    <w:rsid w:val="003A3A9F"/>
    <w:rsid w:val="003A41BC"/>
    <w:rsid w:val="003A4400"/>
    <w:rsid w:val="003A4A29"/>
    <w:rsid w:val="003A65A4"/>
    <w:rsid w:val="003A6B7F"/>
    <w:rsid w:val="003A6EA2"/>
    <w:rsid w:val="003A70FF"/>
    <w:rsid w:val="003A7CDC"/>
    <w:rsid w:val="003A7EF1"/>
    <w:rsid w:val="003B0273"/>
    <w:rsid w:val="003B03CE"/>
    <w:rsid w:val="003B0E79"/>
    <w:rsid w:val="003B1168"/>
    <w:rsid w:val="003B1C2F"/>
    <w:rsid w:val="003B3116"/>
    <w:rsid w:val="003B34C2"/>
    <w:rsid w:val="003B34EA"/>
    <w:rsid w:val="003B3664"/>
    <w:rsid w:val="003B3B4D"/>
    <w:rsid w:val="003B3F02"/>
    <w:rsid w:val="003B3FD2"/>
    <w:rsid w:val="003B4646"/>
    <w:rsid w:val="003B52EE"/>
    <w:rsid w:val="003B617F"/>
    <w:rsid w:val="003B6456"/>
    <w:rsid w:val="003B706F"/>
    <w:rsid w:val="003B7319"/>
    <w:rsid w:val="003B7505"/>
    <w:rsid w:val="003B7E94"/>
    <w:rsid w:val="003C0C1D"/>
    <w:rsid w:val="003C112B"/>
    <w:rsid w:val="003C1A1C"/>
    <w:rsid w:val="003C1C5A"/>
    <w:rsid w:val="003C1F4B"/>
    <w:rsid w:val="003C2766"/>
    <w:rsid w:val="003C2B85"/>
    <w:rsid w:val="003C33E0"/>
    <w:rsid w:val="003C35D7"/>
    <w:rsid w:val="003C3A26"/>
    <w:rsid w:val="003C4988"/>
    <w:rsid w:val="003C560A"/>
    <w:rsid w:val="003C5707"/>
    <w:rsid w:val="003C5717"/>
    <w:rsid w:val="003C5945"/>
    <w:rsid w:val="003C62C4"/>
    <w:rsid w:val="003C63AC"/>
    <w:rsid w:val="003C646F"/>
    <w:rsid w:val="003C6FD3"/>
    <w:rsid w:val="003C7298"/>
    <w:rsid w:val="003C77D4"/>
    <w:rsid w:val="003C7C94"/>
    <w:rsid w:val="003C7FE2"/>
    <w:rsid w:val="003D0176"/>
    <w:rsid w:val="003D0338"/>
    <w:rsid w:val="003D0936"/>
    <w:rsid w:val="003D0EC0"/>
    <w:rsid w:val="003D11C5"/>
    <w:rsid w:val="003D1335"/>
    <w:rsid w:val="003D1902"/>
    <w:rsid w:val="003D1DE4"/>
    <w:rsid w:val="003D2047"/>
    <w:rsid w:val="003D2AB8"/>
    <w:rsid w:val="003D2F49"/>
    <w:rsid w:val="003D3DBE"/>
    <w:rsid w:val="003D4B2E"/>
    <w:rsid w:val="003D55E8"/>
    <w:rsid w:val="003D570E"/>
    <w:rsid w:val="003D6379"/>
    <w:rsid w:val="003D7084"/>
    <w:rsid w:val="003D77EE"/>
    <w:rsid w:val="003D7B3C"/>
    <w:rsid w:val="003E0595"/>
    <w:rsid w:val="003E07AA"/>
    <w:rsid w:val="003E1847"/>
    <w:rsid w:val="003E18C8"/>
    <w:rsid w:val="003E232C"/>
    <w:rsid w:val="003E291A"/>
    <w:rsid w:val="003E2B6F"/>
    <w:rsid w:val="003E3171"/>
    <w:rsid w:val="003E3D22"/>
    <w:rsid w:val="003E406D"/>
    <w:rsid w:val="003E5340"/>
    <w:rsid w:val="003E53C9"/>
    <w:rsid w:val="003E58A8"/>
    <w:rsid w:val="003E7143"/>
    <w:rsid w:val="003E7238"/>
    <w:rsid w:val="003E75C6"/>
    <w:rsid w:val="003E786B"/>
    <w:rsid w:val="003E7A66"/>
    <w:rsid w:val="003E7D01"/>
    <w:rsid w:val="003F088A"/>
    <w:rsid w:val="003F088C"/>
    <w:rsid w:val="003F0AC3"/>
    <w:rsid w:val="003F1A27"/>
    <w:rsid w:val="003F1BBC"/>
    <w:rsid w:val="003F30B5"/>
    <w:rsid w:val="003F31CB"/>
    <w:rsid w:val="003F37E9"/>
    <w:rsid w:val="003F3C33"/>
    <w:rsid w:val="003F3D9B"/>
    <w:rsid w:val="003F422F"/>
    <w:rsid w:val="003F4278"/>
    <w:rsid w:val="003F4483"/>
    <w:rsid w:val="003F522C"/>
    <w:rsid w:val="003F53FD"/>
    <w:rsid w:val="003F54DB"/>
    <w:rsid w:val="003F5784"/>
    <w:rsid w:val="003F5897"/>
    <w:rsid w:val="003F649F"/>
    <w:rsid w:val="003F6BB4"/>
    <w:rsid w:val="003F6D34"/>
    <w:rsid w:val="003F6EB3"/>
    <w:rsid w:val="003F782C"/>
    <w:rsid w:val="003F7A7B"/>
    <w:rsid w:val="003F7C46"/>
    <w:rsid w:val="003F7E87"/>
    <w:rsid w:val="00400378"/>
    <w:rsid w:val="00400718"/>
    <w:rsid w:val="004008E7"/>
    <w:rsid w:val="00400EAB"/>
    <w:rsid w:val="00400EB3"/>
    <w:rsid w:val="004011A7"/>
    <w:rsid w:val="00401304"/>
    <w:rsid w:val="004013F6"/>
    <w:rsid w:val="004018B1"/>
    <w:rsid w:val="00401DB4"/>
    <w:rsid w:val="0040222A"/>
    <w:rsid w:val="00402932"/>
    <w:rsid w:val="00402DAB"/>
    <w:rsid w:val="00403949"/>
    <w:rsid w:val="00404F98"/>
    <w:rsid w:val="00405BA6"/>
    <w:rsid w:val="0040623D"/>
    <w:rsid w:val="004068A1"/>
    <w:rsid w:val="00406C89"/>
    <w:rsid w:val="00406CB5"/>
    <w:rsid w:val="00407486"/>
    <w:rsid w:val="004075B3"/>
    <w:rsid w:val="0040788B"/>
    <w:rsid w:val="00407DCE"/>
    <w:rsid w:val="004100BB"/>
    <w:rsid w:val="00410A8D"/>
    <w:rsid w:val="00411315"/>
    <w:rsid w:val="00411D7E"/>
    <w:rsid w:val="00412638"/>
    <w:rsid w:val="00412997"/>
    <w:rsid w:val="0041364C"/>
    <w:rsid w:val="00413739"/>
    <w:rsid w:val="00413A86"/>
    <w:rsid w:val="00413EF3"/>
    <w:rsid w:val="00414960"/>
    <w:rsid w:val="00414C35"/>
    <w:rsid w:val="00415207"/>
    <w:rsid w:val="004157EB"/>
    <w:rsid w:val="00415E49"/>
    <w:rsid w:val="00417B51"/>
    <w:rsid w:val="00417C3A"/>
    <w:rsid w:val="00417D9E"/>
    <w:rsid w:val="00420520"/>
    <w:rsid w:val="00420B11"/>
    <w:rsid w:val="00420F2F"/>
    <w:rsid w:val="00421623"/>
    <w:rsid w:val="00421B2E"/>
    <w:rsid w:val="00421DC7"/>
    <w:rsid w:val="00422049"/>
    <w:rsid w:val="00422EE6"/>
    <w:rsid w:val="00422EF9"/>
    <w:rsid w:val="00423201"/>
    <w:rsid w:val="00423734"/>
    <w:rsid w:val="00424174"/>
    <w:rsid w:val="0042488E"/>
    <w:rsid w:val="00424F57"/>
    <w:rsid w:val="004254CC"/>
    <w:rsid w:val="004257A2"/>
    <w:rsid w:val="00425B55"/>
    <w:rsid w:val="00425FFA"/>
    <w:rsid w:val="00427216"/>
    <w:rsid w:val="00427578"/>
    <w:rsid w:val="00427C76"/>
    <w:rsid w:val="00430B84"/>
    <w:rsid w:val="00431002"/>
    <w:rsid w:val="00431068"/>
    <w:rsid w:val="0043132C"/>
    <w:rsid w:val="004317E5"/>
    <w:rsid w:val="00431F87"/>
    <w:rsid w:val="00432E5E"/>
    <w:rsid w:val="00432EC3"/>
    <w:rsid w:val="00433092"/>
    <w:rsid w:val="00433112"/>
    <w:rsid w:val="004331D1"/>
    <w:rsid w:val="0043324F"/>
    <w:rsid w:val="00433562"/>
    <w:rsid w:val="0043448E"/>
    <w:rsid w:val="00434702"/>
    <w:rsid w:val="004347AB"/>
    <w:rsid w:val="00434894"/>
    <w:rsid w:val="00434CBE"/>
    <w:rsid w:val="00434F4D"/>
    <w:rsid w:val="004352D2"/>
    <w:rsid w:val="004360FE"/>
    <w:rsid w:val="004368D4"/>
    <w:rsid w:val="00436E8F"/>
    <w:rsid w:val="0043730E"/>
    <w:rsid w:val="00437E18"/>
    <w:rsid w:val="00440871"/>
    <w:rsid w:val="00441316"/>
    <w:rsid w:val="00441943"/>
    <w:rsid w:val="00441A8C"/>
    <w:rsid w:val="004423A2"/>
    <w:rsid w:val="0044276B"/>
    <w:rsid w:val="00442B34"/>
    <w:rsid w:val="00442D2B"/>
    <w:rsid w:val="00443148"/>
    <w:rsid w:val="00443AC2"/>
    <w:rsid w:val="00443F4E"/>
    <w:rsid w:val="00445050"/>
    <w:rsid w:val="004459BB"/>
    <w:rsid w:val="00445A9D"/>
    <w:rsid w:val="00446208"/>
    <w:rsid w:val="004462C9"/>
    <w:rsid w:val="004466C7"/>
    <w:rsid w:val="00446764"/>
    <w:rsid w:val="00446B14"/>
    <w:rsid w:val="00447699"/>
    <w:rsid w:val="004478AF"/>
    <w:rsid w:val="00447E6F"/>
    <w:rsid w:val="00447EF9"/>
    <w:rsid w:val="00450DA6"/>
    <w:rsid w:val="00451714"/>
    <w:rsid w:val="00451A47"/>
    <w:rsid w:val="00451AA7"/>
    <w:rsid w:val="00451E5E"/>
    <w:rsid w:val="00452A24"/>
    <w:rsid w:val="00452A5B"/>
    <w:rsid w:val="00453B84"/>
    <w:rsid w:val="00453C58"/>
    <w:rsid w:val="00453D18"/>
    <w:rsid w:val="00453F06"/>
    <w:rsid w:val="0045412C"/>
    <w:rsid w:val="00454A13"/>
    <w:rsid w:val="00454A14"/>
    <w:rsid w:val="00454D64"/>
    <w:rsid w:val="00454FD4"/>
    <w:rsid w:val="004556E0"/>
    <w:rsid w:val="00456670"/>
    <w:rsid w:val="004567ED"/>
    <w:rsid w:val="004576E2"/>
    <w:rsid w:val="00457731"/>
    <w:rsid w:val="00457BDF"/>
    <w:rsid w:val="00457C75"/>
    <w:rsid w:val="0046060C"/>
    <w:rsid w:val="004607CF"/>
    <w:rsid w:val="00460CDA"/>
    <w:rsid w:val="00461501"/>
    <w:rsid w:val="00461C09"/>
    <w:rsid w:val="00461F90"/>
    <w:rsid w:val="0046202E"/>
    <w:rsid w:val="0046242E"/>
    <w:rsid w:val="00462914"/>
    <w:rsid w:val="00462AAD"/>
    <w:rsid w:val="00463660"/>
    <w:rsid w:val="00463797"/>
    <w:rsid w:val="00465230"/>
    <w:rsid w:val="004654D5"/>
    <w:rsid w:val="0046552E"/>
    <w:rsid w:val="00465766"/>
    <w:rsid w:val="004659E6"/>
    <w:rsid w:val="00465EDB"/>
    <w:rsid w:val="00466625"/>
    <w:rsid w:val="004669BA"/>
    <w:rsid w:val="00466B4E"/>
    <w:rsid w:val="00466D97"/>
    <w:rsid w:val="00466FC7"/>
    <w:rsid w:val="004677E5"/>
    <w:rsid w:val="00467ACB"/>
    <w:rsid w:val="00467C1B"/>
    <w:rsid w:val="00467E96"/>
    <w:rsid w:val="00470589"/>
    <w:rsid w:val="00470852"/>
    <w:rsid w:val="00470BA4"/>
    <w:rsid w:val="00470DFA"/>
    <w:rsid w:val="004710B0"/>
    <w:rsid w:val="004714E9"/>
    <w:rsid w:val="00471F66"/>
    <w:rsid w:val="00472450"/>
    <w:rsid w:val="00472556"/>
    <w:rsid w:val="0047283D"/>
    <w:rsid w:val="0047353B"/>
    <w:rsid w:val="00473BA4"/>
    <w:rsid w:val="00473D2C"/>
    <w:rsid w:val="00474F50"/>
    <w:rsid w:val="004752E4"/>
    <w:rsid w:val="004754AA"/>
    <w:rsid w:val="0047559F"/>
    <w:rsid w:val="00475CCC"/>
    <w:rsid w:val="00475EF5"/>
    <w:rsid w:val="004760C5"/>
    <w:rsid w:val="0047767B"/>
    <w:rsid w:val="00477C38"/>
    <w:rsid w:val="00477CA8"/>
    <w:rsid w:val="004800CC"/>
    <w:rsid w:val="0048022D"/>
    <w:rsid w:val="00480AC4"/>
    <w:rsid w:val="00480C1E"/>
    <w:rsid w:val="00480E79"/>
    <w:rsid w:val="0048194D"/>
    <w:rsid w:val="004825B9"/>
    <w:rsid w:val="00482A3F"/>
    <w:rsid w:val="00482B0E"/>
    <w:rsid w:val="00482BFB"/>
    <w:rsid w:val="00484575"/>
    <w:rsid w:val="00484766"/>
    <w:rsid w:val="004848C0"/>
    <w:rsid w:val="00485F73"/>
    <w:rsid w:val="00486638"/>
    <w:rsid w:val="0048689D"/>
    <w:rsid w:val="00486B30"/>
    <w:rsid w:val="004870B4"/>
    <w:rsid w:val="004873CC"/>
    <w:rsid w:val="004877C8"/>
    <w:rsid w:val="00487E16"/>
    <w:rsid w:val="00490110"/>
    <w:rsid w:val="00490158"/>
    <w:rsid w:val="00490CB3"/>
    <w:rsid w:val="00491377"/>
    <w:rsid w:val="00493115"/>
    <w:rsid w:val="004931BC"/>
    <w:rsid w:val="00493542"/>
    <w:rsid w:val="00493C2F"/>
    <w:rsid w:val="00494564"/>
    <w:rsid w:val="004949F1"/>
    <w:rsid w:val="004949FD"/>
    <w:rsid w:val="00494D4F"/>
    <w:rsid w:val="00495903"/>
    <w:rsid w:val="00495F5D"/>
    <w:rsid w:val="0049612D"/>
    <w:rsid w:val="00496FEA"/>
    <w:rsid w:val="004970A5"/>
    <w:rsid w:val="004A0178"/>
    <w:rsid w:val="004A04A4"/>
    <w:rsid w:val="004A06BB"/>
    <w:rsid w:val="004A06BD"/>
    <w:rsid w:val="004A0881"/>
    <w:rsid w:val="004A0BC8"/>
    <w:rsid w:val="004A0CF0"/>
    <w:rsid w:val="004A0EBE"/>
    <w:rsid w:val="004A10A3"/>
    <w:rsid w:val="004A1247"/>
    <w:rsid w:val="004A146B"/>
    <w:rsid w:val="004A1872"/>
    <w:rsid w:val="004A1AAA"/>
    <w:rsid w:val="004A1F77"/>
    <w:rsid w:val="004A2611"/>
    <w:rsid w:val="004A2AC4"/>
    <w:rsid w:val="004A2B40"/>
    <w:rsid w:val="004A2C28"/>
    <w:rsid w:val="004A3106"/>
    <w:rsid w:val="004A32A4"/>
    <w:rsid w:val="004A3AF1"/>
    <w:rsid w:val="004A3B1E"/>
    <w:rsid w:val="004A3D9A"/>
    <w:rsid w:val="004A4268"/>
    <w:rsid w:val="004A4350"/>
    <w:rsid w:val="004A45D0"/>
    <w:rsid w:val="004A4746"/>
    <w:rsid w:val="004A4A51"/>
    <w:rsid w:val="004A4C05"/>
    <w:rsid w:val="004A5186"/>
    <w:rsid w:val="004A5C54"/>
    <w:rsid w:val="004A6A6C"/>
    <w:rsid w:val="004A6B30"/>
    <w:rsid w:val="004A74CF"/>
    <w:rsid w:val="004A75A5"/>
    <w:rsid w:val="004B071E"/>
    <w:rsid w:val="004B0973"/>
    <w:rsid w:val="004B0B88"/>
    <w:rsid w:val="004B0E56"/>
    <w:rsid w:val="004B11AF"/>
    <w:rsid w:val="004B129A"/>
    <w:rsid w:val="004B171F"/>
    <w:rsid w:val="004B2A5A"/>
    <w:rsid w:val="004B30B7"/>
    <w:rsid w:val="004B314A"/>
    <w:rsid w:val="004B50F0"/>
    <w:rsid w:val="004B5556"/>
    <w:rsid w:val="004B5952"/>
    <w:rsid w:val="004B6382"/>
    <w:rsid w:val="004B6537"/>
    <w:rsid w:val="004B673D"/>
    <w:rsid w:val="004B6B1A"/>
    <w:rsid w:val="004B6C94"/>
    <w:rsid w:val="004B6DAF"/>
    <w:rsid w:val="004B71CF"/>
    <w:rsid w:val="004B73EB"/>
    <w:rsid w:val="004B779F"/>
    <w:rsid w:val="004B7AD6"/>
    <w:rsid w:val="004B7B47"/>
    <w:rsid w:val="004B7F43"/>
    <w:rsid w:val="004C07AB"/>
    <w:rsid w:val="004C0B49"/>
    <w:rsid w:val="004C0DEE"/>
    <w:rsid w:val="004C11BD"/>
    <w:rsid w:val="004C1B7D"/>
    <w:rsid w:val="004C2E49"/>
    <w:rsid w:val="004C37B9"/>
    <w:rsid w:val="004C453E"/>
    <w:rsid w:val="004C45C3"/>
    <w:rsid w:val="004C503D"/>
    <w:rsid w:val="004C5A63"/>
    <w:rsid w:val="004C5CBD"/>
    <w:rsid w:val="004C6191"/>
    <w:rsid w:val="004C6D99"/>
    <w:rsid w:val="004C7329"/>
    <w:rsid w:val="004C7669"/>
    <w:rsid w:val="004D01FE"/>
    <w:rsid w:val="004D06D9"/>
    <w:rsid w:val="004D0830"/>
    <w:rsid w:val="004D0C4E"/>
    <w:rsid w:val="004D0DE0"/>
    <w:rsid w:val="004D1736"/>
    <w:rsid w:val="004D1A90"/>
    <w:rsid w:val="004D1E3E"/>
    <w:rsid w:val="004D2234"/>
    <w:rsid w:val="004D236E"/>
    <w:rsid w:val="004D2461"/>
    <w:rsid w:val="004D25EB"/>
    <w:rsid w:val="004D2EC5"/>
    <w:rsid w:val="004D306E"/>
    <w:rsid w:val="004D361B"/>
    <w:rsid w:val="004D36E2"/>
    <w:rsid w:val="004D402B"/>
    <w:rsid w:val="004D42BA"/>
    <w:rsid w:val="004D43EB"/>
    <w:rsid w:val="004D48AE"/>
    <w:rsid w:val="004D4F85"/>
    <w:rsid w:val="004D54F0"/>
    <w:rsid w:val="004D5860"/>
    <w:rsid w:val="004D5B60"/>
    <w:rsid w:val="004D5B7C"/>
    <w:rsid w:val="004D5E26"/>
    <w:rsid w:val="004D64AF"/>
    <w:rsid w:val="004D6756"/>
    <w:rsid w:val="004D7951"/>
    <w:rsid w:val="004E05DB"/>
    <w:rsid w:val="004E06B9"/>
    <w:rsid w:val="004E0904"/>
    <w:rsid w:val="004E118E"/>
    <w:rsid w:val="004E176A"/>
    <w:rsid w:val="004E18BC"/>
    <w:rsid w:val="004E1B61"/>
    <w:rsid w:val="004E2D9B"/>
    <w:rsid w:val="004E324E"/>
    <w:rsid w:val="004E3B73"/>
    <w:rsid w:val="004E3ED6"/>
    <w:rsid w:val="004E3F32"/>
    <w:rsid w:val="004E4601"/>
    <w:rsid w:val="004E4A9D"/>
    <w:rsid w:val="004E4C8A"/>
    <w:rsid w:val="004E5DBA"/>
    <w:rsid w:val="004E605D"/>
    <w:rsid w:val="004E62CC"/>
    <w:rsid w:val="004E6569"/>
    <w:rsid w:val="004E6F9B"/>
    <w:rsid w:val="004E7147"/>
    <w:rsid w:val="004E7325"/>
    <w:rsid w:val="004E7749"/>
    <w:rsid w:val="004F10C6"/>
    <w:rsid w:val="004F25CF"/>
    <w:rsid w:val="004F27E7"/>
    <w:rsid w:val="004F29E8"/>
    <w:rsid w:val="004F2D63"/>
    <w:rsid w:val="004F30FC"/>
    <w:rsid w:val="004F344F"/>
    <w:rsid w:val="004F376E"/>
    <w:rsid w:val="004F3860"/>
    <w:rsid w:val="004F3F9F"/>
    <w:rsid w:val="004F4DE3"/>
    <w:rsid w:val="004F5140"/>
    <w:rsid w:val="004F5469"/>
    <w:rsid w:val="004F6A14"/>
    <w:rsid w:val="004F6F61"/>
    <w:rsid w:val="004F76A6"/>
    <w:rsid w:val="004F7D71"/>
    <w:rsid w:val="004F7DA4"/>
    <w:rsid w:val="004F7DA9"/>
    <w:rsid w:val="004F7DC1"/>
    <w:rsid w:val="00500C8D"/>
    <w:rsid w:val="0050177B"/>
    <w:rsid w:val="00501A26"/>
    <w:rsid w:val="005022A5"/>
    <w:rsid w:val="005028B0"/>
    <w:rsid w:val="0050305C"/>
    <w:rsid w:val="005035C9"/>
    <w:rsid w:val="005039C8"/>
    <w:rsid w:val="00504CFC"/>
    <w:rsid w:val="005053B4"/>
    <w:rsid w:val="00505E28"/>
    <w:rsid w:val="005060A0"/>
    <w:rsid w:val="005063AF"/>
    <w:rsid w:val="00506B79"/>
    <w:rsid w:val="00506C28"/>
    <w:rsid w:val="00506E1E"/>
    <w:rsid w:val="0050719E"/>
    <w:rsid w:val="005077BD"/>
    <w:rsid w:val="005109F2"/>
    <w:rsid w:val="005110D8"/>
    <w:rsid w:val="00511B01"/>
    <w:rsid w:val="005121A8"/>
    <w:rsid w:val="005127EF"/>
    <w:rsid w:val="005128E7"/>
    <w:rsid w:val="00512BF6"/>
    <w:rsid w:val="00512E12"/>
    <w:rsid w:val="00512E23"/>
    <w:rsid w:val="005130F2"/>
    <w:rsid w:val="0051399B"/>
    <w:rsid w:val="00513F41"/>
    <w:rsid w:val="00514249"/>
    <w:rsid w:val="00514741"/>
    <w:rsid w:val="005148B7"/>
    <w:rsid w:val="00515455"/>
    <w:rsid w:val="00515500"/>
    <w:rsid w:val="00515618"/>
    <w:rsid w:val="005157AB"/>
    <w:rsid w:val="005159FC"/>
    <w:rsid w:val="00515D20"/>
    <w:rsid w:val="005162B8"/>
    <w:rsid w:val="005169B7"/>
    <w:rsid w:val="00516C88"/>
    <w:rsid w:val="00516E51"/>
    <w:rsid w:val="00516EC5"/>
    <w:rsid w:val="00517427"/>
    <w:rsid w:val="0051778C"/>
    <w:rsid w:val="00517863"/>
    <w:rsid w:val="00517F39"/>
    <w:rsid w:val="0052067F"/>
    <w:rsid w:val="00520BAB"/>
    <w:rsid w:val="00520CCF"/>
    <w:rsid w:val="00521339"/>
    <w:rsid w:val="005217C5"/>
    <w:rsid w:val="00521D96"/>
    <w:rsid w:val="00522B1D"/>
    <w:rsid w:val="005233C9"/>
    <w:rsid w:val="0052383B"/>
    <w:rsid w:val="0052383E"/>
    <w:rsid w:val="0052388A"/>
    <w:rsid w:val="00524F35"/>
    <w:rsid w:val="0052512A"/>
    <w:rsid w:val="005252AC"/>
    <w:rsid w:val="0052549C"/>
    <w:rsid w:val="00525CA7"/>
    <w:rsid w:val="005260A7"/>
    <w:rsid w:val="00526300"/>
    <w:rsid w:val="00526398"/>
    <w:rsid w:val="00527063"/>
    <w:rsid w:val="005270AD"/>
    <w:rsid w:val="00527193"/>
    <w:rsid w:val="00527970"/>
    <w:rsid w:val="005279EC"/>
    <w:rsid w:val="00527C83"/>
    <w:rsid w:val="00527E71"/>
    <w:rsid w:val="00527F0F"/>
    <w:rsid w:val="00530C77"/>
    <w:rsid w:val="00530DDE"/>
    <w:rsid w:val="00530E20"/>
    <w:rsid w:val="005310EC"/>
    <w:rsid w:val="00531F0C"/>
    <w:rsid w:val="00532618"/>
    <w:rsid w:val="00532B0A"/>
    <w:rsid w:val="0053343B"/>
    <w:rsid w:val="00533905"/>
    <w:rsid w:val="00533ADC"/>
    <w:rsid w:val="00533BBA"/>
    <w:rsid w:val="00533EF3"/>
    <w:rsid w:val="00533FAD"/>
    <w:rsid w:val="005340DC"/>
    <w:rsid w:val="00535046"/>
    <w:rsid w:val="00535432"/>
    <w:rsid w:val="00535F4A"/>
    <w:rsid w:val="00536436"/>
    <w:rsid w:val="005364FF"/>
    <w:rsid w:val="00536704"/>
    <w:rsid w:val="00536FFA"/>
    <w:rsid w:val="00537B8A"/>
    <w:rsid w:val="005406F6"/>
    <w:rsid w:val="005409E2"/>
    <w:rsid w:val="00540F1C"/>
    <w:rsid w:val="00541636"/>
    <w:rsid w:val="00541C60"/>
    <w:rsid w:val="00541F48"/>
    <w:rsid w:val="0054258C"/>
    <w:rsid w:val="00542A05"/>
    <w:rsid w:val="00542EB0"/>
    <w:rsid w:val="0054327A"/>
    <w:rsid w:val="00543B55"/>
    <w:rsid w:val="00543C41"/>
    <w:rsid w:val="00543D89"/>
    <w:rsid w:val="00543FD8"/>
    <w:rsid w:val="0054419A"/>
    <w:rsid w:val="00544402"/>
    <w:rsid w:val="00544574"/>
    <w:rsid w:val="005445C0"/>
    <w:rsid w:val="00544CC3"/>
    <w:rsid w:val="00544D9E"/>
    <w:rsid w:val="005457EC"/>
    <w:rsid w:val="00545854"/>
    <w:rsid w:val="0054592B"/>
    <w:rsid w:val="005463C7"/>
    <w:rsid w:val="00546991"/>
    <w:rsid w:val="00546D70"/>
    <w:rsid w:val="00546F6A"/>
    <w:rsid w:val="00547011"/>
    <w:rsid w:val="00547776"/>
    <w:rsid w:val="00547AEE"/>
    <w:rsid w:val="00547BE8"/>
    <w:rsid w:val="00550259"/>
    <w:rsid w:val="005502C6"/>
    <w:rsid w:val="00550473"/>
    <w:rsid w:val="00550815"/>
    <w:rsid w:val="00550E94"/>
    <w:rsid w:val="00551532"/>
    <w:rsid w:val="00551804"/>
    <w:rsid w:val="0055329E"/>
    <w:rsid w:val="00553407"/>
    <w:rsid w:val="005549B2"/>
    <w:rsid w:val="00554A64"/>
    <w:rsid w:val="00555E3C"/>
    <w:rsid w:val="0055646F"/>
    <w:rsid w:val="00556575"/>
    <w:rsid w:val="005567C2"/>
    <w:rsid w:val="00556E56"/>
    <w:rsid w:val="00556EFE"/>
    <w:rsid w:val="005574B7"/>
    <w:rsid w:val="00557809"/>
    <w:rsid w:val="00557B0B"/>
    <w:rsid w:val="0056038E"/>
    <w:rsid w:val="00560F2A"/>
    <w:rsid w:val="0056114A"/>
    <w:rsid w:val="0056180E"/>
    <w:rsid w:val="0056241C"/>
    <w:rsid w:val="00562612"/>
    <w:rsid w:val="00562710"/>
    <w:rsid w:val="00562F8B"/>
    <w:rsid w:val="005639ED"/>
    <w:rsid w:val="00563A47"/>
    <w:rsid w:val="0056421B"/>
    <w:rsid w:val="0056475D"/>
    <w:rsid w:val="00565383"/>
    <w:rsid w:val="00566B98"/>
    <w:rsid w:val="00567B5B"/>
    <w:rsid w:val="00567FA4"/>
    <w:rsid w:val="00570499"/>
    <w:rsid w:val="005708A6"/>
    <w:rsid w:val="00570AAD"/>
    <w:rsid w:val="0057148A"/>
    <w:rsid w:val="00571991"/>
    <w:rsid w:val="00572490"/>
    <w:rsid w:val="005728A7"/>
    <w:rsid w:val="00573268"/>
    <w:rsid w:val="005732FC"/>
    <w:rsid w:val="00573A9E"/>
    <w:rsid w:val="0057445D"/>
    <w:rsid w:val="00574486"/>
    <w:rsid w:val="005747DC"/>
    <w:rsid w:val="005749F4"/>
    <w:rsid w:val="00575926"/>
    <w:rsid w:val="00576128"/>
    <w:rsid w:val="005761BA"/>
    <w:rsid w:val="005763B5"/>
    <w:rsid w:val="00576BCA"/>
    <w:rsid w:val="00576DAA"/>
    <w:rsid w:val="005772BF"/>
    <w:rsid w:val="00580AD6"/>
    <w:rsid w:val="00580E8B"/>
    <w:rsid w:val="00581568"/>
    <w:rsid w:val="00581923"/>
    <w:rsid w:val="00581927"/>
    <w:rsid w:val="00581DA1"/>
    <w:rsid w:val="00581F60"/>
    <w:rsid w:val="005820A0"/>
    <w:rsid w:val="00582462"/>
    <w:rsid w:val="0058248F"/>
    <w:rsid w:val="005829EC"/>
    <w:rsid w:val="00582B6D"/>
    <w:rsid w:val="005835FC"/>
    <w:rsid w:val="005836B6"/>
    <w:rsid w:val="00583E1C"/>
    <w:rsid w:val="00584739"/>
    <w:rsid w:val="00584A78"/>
    <w:rsid w:val="00584EBE"/>
    <w:rsid w:val="005856AE"/>
    <w:rsid w:val="00585B24"/>
    <w:rsid w:val="005865D3"/>
    <w:rsid w:val="0058685A"/>
    <w:rsid w:val="00586EC8"/>
    <w:rsid w:val="00587074"/>
    <w:rsid w:val="00587C5E"/>
    <w:rsid w:val="00587C9D"/>
    <w:rsid w:val="00587E33"/>
    <w:rsid w:val="005906BC"/>
    <w:rsid w:val="00590B47"/>
    <w:rsid w:val="00590C96"/>
    <w:rsid w:val="0059112A"/>
    <w:rsid w:val="0059151E"/>
    <w:rsid w:val="00591D6A"/>
    <w:rsid w:val="005920D4"/>
    <w:rsid w:val="0059235D"/>
    <w:rsid w:val="005928EB"/>
    <w:rsid w:val="00592B9C"/>
    <w:rsid w:val="0059356D"/>
    <w:rsid w:val="00593819"/>
    <w:rsid w:val="00593FAB"/>
    <w:rsid w:val="00593FEA"/>
    <w:rsid w:val="005945E8"/>
    <w:rsid w:val="0059466E"/>
    <w:rsid w:val="00594D1C"/>
    <w:rsid w:val="00595ECE"/>
    <w:rsid w:val="0059601A"/>
    <w:rsid w:val="00596A91"/>
    <w:rsid w:val="005976AE"/>
    <w:rsid w:val="00597D51"/>
    <w:rsid w:val="005A0817"/>
    <w:rsid w:val="005A091F"/>
    <w:rsid w:val="005A10EE"/>
    <w:rsid w:val="005A15EE"/>
    <w:rsid w:val="005A1CD6"/>
    <w:rsid w:val="005A2536"/>
    <w:rsid w:val="005A2A76"/>
    <w:rsid w:val="005A2F9B"/>
    <w:rsid w:val="005A301F"/>
    <w:rsid w:val="005A4044"/>
    <w:rsid w:val="005A46E2"/>
    <w:rsid w:val="005A4A64"/>
    <w:rsid w:val="005A4E57"/>
    <w:rsid w:val="005A5368"/>
    <w:rsid w:val="005A5998"/>
    <w:rsid w:val="005A59C1"/>
    <w:rsid w:val="005A5B38"/>
    <w:rsid w:val="005A5E57"/>
    <w:rsid w:val="005A6FD4"/>
    <w:rsid w:val="005A75F2"/>
    <w:rsid w:val="005B0839"/>
    <w:rsid w:val="005B113A"/>
    <w:rsid w:val="005B14D9"/>
    <w:rsid w:val="005B16F7"/>
    <w:rsid w:val="005B1E4E"/>
    <w:rsid w:val="005B1E56"/>
    <w:rsid w:val="005B2443"/>
    <w:rsid w:val="005B25AF"/>
    <w:rsid w:val="005B2C5A"/>
    <w:rsid w:val="005B3262"/>
    <w:rsid w:val="005B326E"/>
    <w:rsid w:val="005B34CF"/>
    <w:rsid w:val="005B3BF7"/>
    <w:rsid w:val="005B3C81"/>
    <w:rsid w:val="005B3EE7"/>
    <w:rsid w:val="005B404F"/>
    <w:rsid w:val="005B4299"/>
    <w:rsid w:val="005B4840"/>
    <w:rsid w:val="005B4980"/>
    <w:rsid w:val="005B49EF"/>
    <w:rsid w:val="005B4B13"/>
    <w:rsid w:val="005B6939"/>
    <w:rsid w:val="005B6B36"/>
    <w:rsid w:val="005B6F3F"/>
    <w:rsid w:val="005B75D1"/>
    <w:rsid w:val="005B793B"/>
    <w:rsid w:val="005C0A42"/>
    <w:rsid w:val="005C0B96"/>
    <w:rsid w:val="005C12C5"/>
    <w:rsid w:val="005C12CB"/>
    <w:rsid w:val="005C1395"/>
    <w:rsid w:val="005C141A"/>
    <w:rsid w:val="005C1700"/>
    <w:rsid w:val="005C2082"/>
    <w:rsid w:val="005C285E"/>
    <w:rsid w:val="005C2A6E"/>
    <w:rsid w:val="005C300B"/>
    <w:rsid w:val="005C318B"/>
    <w:rsid w:val="005C390B"/>
    <w:rsid w:val="005C3C6C"/>
    <w:rsid w:val="005C400B"/>
    <w:rsid w:val="005C415C"/>
    <w:rsid w:val="005C461C"/>
    <w:rsid w:val="005C48D1"/>
    <w:rsid w:val="005C5450"/>
    <w:rsid w:val="005C639E"/>
    <w:rsid w:val="005C6709"/>
    <w:rsid w:val="005C6B6C"/>
    <w:rsid w:val="005C75AA"/>
    <w:rsid w:val="005C7792"/>
    <w:rsid w:val="005C7D32"/>
    <w:rsid w:val="005D0271"/>
    <w:rsid w:val="005D0873"/>
    <w:rsid w:val="005D0C75"/>
    <w:rsid w:val="005D0E99"/>
    <w:rsid w:val="005D11F9"/>
    <w:rsid w:val="005D149C"/>
    <w:rsid w:val="005D17CC"/>
    <w:rsid w:val="005D1AB5"/>
    <w:rsid w:val="005D1D6F"/>
    <w:rsid w:val="005D2434"/>
    <w:rsid w:val="005D29AC"/>
    <w:rsid w:val="005D2E4C"/>
    <w:rsid w:val="005D2F16"/>
    <w:rsid w:val="005D3398"/>
    <w:rsid w:val="005D3605"/>
    <w:rsid w:val="005D39ED"/>
    <w:rsid w:val="005D3B5E"/>
    <w:rsid w:val="005D3C20"/>
    <w:rsid w:val="005D3DDA"/>
    <w:rsid w:val="005D46DE"/>
    <w:rsid w:val="005D5BD4"/>
    <w:rsid w:val="005D5C11"/>
    <w:rsid w:val="005D60A2"/>
    <w:rsid w:val="005D6324"/>
    <w:rsid w:val="005D67DB"/>
    <w:rsid w:val="005D6FC8"/>
    <w:rsid w:val="005E01C0"/>
    <w:rsid w:val="005E0510"/>
    <w:rsid w:val="005E054F"/>
    <w:rsid w:val="005E0799"/>
    <w:rsid w:val="005E0C3B"/>
    <w:rsid w:val="005E1464"/>
    <w:rsid w:val="005E1F3A"/>
    <w:rsid w:val="005E2941"/>
    <w:rsid w:val="005E32F3"/>
    <w:rsid w:val="005E35B5"/>
    <w:rsid w:val="005E4141"/>
    <w:rsid w:val="005E43CD"/>
    <w:rsid w:val="005E4C5D"/>
    <w:rsid w:val="005E5496"/>
    <w:rsid w:val="005E6248"/>
    <w:rsid w:val="005E68DC"/>
    <w:rsid w:val="005E7290"/>
    <w:rsid w:val="005E7A80"/>
    <w:rsid w:val="005E7CD5"/>
    <w:rsid w:val="005F0237"/>
    <w:rsid w:val="005F03AE"/>
    <w:rsid w:val="005F05A3"/>
    <w:rsid w:val="005F137B"/>
    <w:rsid w:val="005F20AB"/>
    <w:rsid w:val="005F2563"/>
    <w:rsid w:val="005F2D77"/>
    <w:rsid w:val="005F2DB2"/>
    <w:rsid w:val="005F312B"/>
    <w:rsid w:val="005F318C"/>
    <w:rsid w:val="005F3D02"/>
    <w:rsid w:val="005F412F"/>
    <w:rsid w:val="005F4158"/>
    <w:rsid w:val="005F41C8"/>
    <w:rsid w:val="005F45B2"/>
    <w:rsid w:val="005F475E"/>
    <w:rsid w:val="005F4A6E"/>
    <w:rsid w:val="005F585D"/>
    <w:rsid w:val="005F614C"/>
    <w:rsid w:val="005F65C5"/>
    <w:rsid w:val="005F68EF"/>
    <w:rsid w:val="005F7885"/>
    <w:rsid w:val="005F7BF5"/>
    <w:rsid w:val="0060037A"/>
    <w:rsid w:val="00600C05"/>
    <w:rsid w:val="00600F70"/>
    <w:rsid w:val="006015AD"/>
    <w:rsid w:val="0060222D"/>
    <w:rsid w:val="006024CF"/>
    <w:rsid w:val="00602632"/>
    <w:rsid w:val="00602AEE"/>
    <w:rsid w:val="00602CC1"/>
    <w:rsid w:val="00603219"/>
    <w:rsid w:val="00603624"/>
    <w:rsid w:val="00603B4C"/>
    <w:rsid w:val="00604574"/>
    <w:rsid w:val="00604CE0"/>
    <w:rsid w:val="00605366"/>
    <w:rsid w:val="006055FA"/>
    <w:rsid w:val="00605ACF"/>
    <w:rsid w:val="006073AD"/>
    <w:rsid w:val="0060747D"/>
    <w:rsid w:val="00607596"/>
    <w:rsid w:val="00607BCC"/>
    <w:rsid w:val="00607F95"/>
    <w:rsid w:val="00610C32"/>
    <w:rsid w:val="00611178"/>
    <w:rsid w:val="0061186C"/>
    <w:rsid w:val="00611A2A"/>
    <w:rsid w:val="00611D20"/>
    <w:rsid w:val="00611E42"/>
    <w:rsid w:val="00611EE6"/>
    <w:rsid w:val="00611FB0"/>
    <w:rsid w:val="0061233F"/>
    <w:rsid w:val="006132B7"/>
    <w:rsid w:val="00613F1A"/>
    <w:rsid w:val="00614A48"/>
    <w:rsid w:val="00614AC7"/>
    <w:rsid w:val="00614D42"/>
    <w:rsid w:val="00614D4F"/>
    <w:rsid w:val="006156E1"/>
    <w:rsid w:val="00615E8F"/>
    <w:rsid w:val="00615FC6"/>
    <w:rsid w:val="00616337"/>
    <w:rsid w:val="00616643"/>
    <w:rsid w:val="00616A68"/>
    <w:rsid w:val="00616B65"/>
    <w:rsid w:val="00617348"/>
    <w:rsid w:val="006205EE"/>
    <w:rsid w:val="006206A1"/>
    <w:rsid w:val="006208FB"/>
    <w:rsid w:val="00620AF6"/>
    <w:rsid w:val="00621246"/>
    <w:rsid w:val="006215CF"/>
    <w:rsid w:val="006218E6"/>
    <w:rsid w:val="00621CCF"/>
    <w:rsid w:val="006220CD"/>
    <w:rsid w:val="0062239B"/>
    <w:rsid w:val="0062243D"/>
    <w:rsid w:val="006228D0"/>
    <w:rsid w:val="00622B83"/>
    <w:rsid w:val="00625019"/>
    <w:rsid w:val="006250C0"/>
    <w:rsid w:val="006253D9"/>
    <w:rsid w:val="00625590"/>
    <w:rsid w:val="00625834"/>
    <w:rsid w:val="0062597B"/>
    <w:rsid w:val="00625A8C"/>
    <w:rsid w:val="00625F6C"/>
    <w:rsid w:val="006261EF"/>
    <w:rsid w:val="0062649D"/>
    <w:rsid w:val="00626579"/>
    <w:rsid w:val="00626C97"/>
    <w:rsid w:val="0062719D"/>
    <w:rsid w:val="006274F5"/>
    <w:rsid w:val="006308FD"/>
    <w:rsid w:val="00631402"/>
    <w:rsid w:val="0063152D"/>
    <w:rsid w:val="00631A2E"/>
    <w:rsid w:val="006322C6"/>
    <w:rsid w:val="00632DFF"/>
    <w:rsid w:val="00632FEB"/>
    <w:rsid w:val="006336E3"/>
    <w:rsid w:val="00633D18"/>
    <w:rsid w:val="00634262"/>
    <w:rsid w:val="006345FA"/>
    <w:rsid w:val="0063503A"/>
    <w:rsid w:val="00635246"/>
    <w:rsid w:val="00635B7D"/>
    <w:rsid w:val="00636339"/>
    <w:rsid w:val="006363DB"/>
    <w:rsid w:val="00636C2B"/>
    <w:rsid w:val="006374E1"/>
    <w:rsid w:val="00637E00"/>
    <w:rsid w:val="00637F77"/>
    <w:rsid w:val="00640F5C"/>
    <w:rsid w:val="006410BC"/>
    <w:rsid w:val="006415E6"/>
    <w:rsid w:val="006418CD"/>
    <w:rsid w:val="006426E2"/>
    <w:rsid w:val="00642A25"/>
    <w:rsid w:val="00642BB9"/>
    <w:rsid w:val="006430E1"/>
    <w:rsid w:val="00643234"/>
    <w:rsid w:val="00643998"/>
    <w:rsid w:val="00643B8D"/>
    <w:rsid w:val="006443C2"/>
    <w:rsid w:val="00644D52"/>
    <w:rsid w:val="00645100"/>
    <w:rsid w:val="006453E6"/>
    <w:rsid w:val="00645962"/>
    <w:rsid w:val="006463F8"/>
    <w:rsid w:val="00646436"/>
    <w:rsid w:val="00646705"/>
    <w:rsid w:val="0064686C"/>
    <w:rsid w:val="006468D7"/>
    <w:rsid w:val="00647288"/>
    <w:rsid w:val="006475DA"/>
    <w:rsid w:val="0064784F"/>
    <w:rsid w:val="006479BE"/>
    <w:rsid w:val="00647AF0"/>
    <w:rsid w:val="00650BB3"/>
    <w:rsid w:val="00650FEC"/>
    <w:rsid w:val="00651665"/>
    <w:rsid w:val="00651BA6"/>
    <w:rsid w:val="00652278"/>
    <w:rsid w:val="006528F2"/>
    <w:rsid w:val="00652916"/>
    <w:rsid w:val="00653183"/>
    <w:rsid w:val="00653200"/>
    <w:rsid w:val="0065339A"/>
    <w:rsid w:val="00653E36"/>
    <w:rsid w:val="0065462A"/>
    <w:rsid w:val="006547DA"/>
    <w:rsid w:val="00654B92"/>
    <w:rsid w:val="00654DFB"/>
    <w:rsid w:val="00654FEF"/>
    <w:rsid w:val="00655DBE"/>
    <w:rsid w:val="00655F3B"/>
    <w:rsid w:val="00656320"/>
    <w:rsid w:val="00656429"/>
    <w:rsid w:val="00656470"/>
    <w:rsid w:val="00656BD3"/>
    <w:rsid w:val="00657052"/>
    <w:rsid w:val="006570EF"/>
    <w:rsid w:val="00657159"/>
    <w:rsid w:val="0065794E"/>
    <w:rsid w:val="006579A9"/>
    <w:rsid w:val="00660770"/>
    <w:rsid w:val="00660968"/>
    <w:rsid w:val="00661033"/>
    <w:rsid w:val="006615FA"/>
    <w:rsid w:val="006619D2"/>
    <w:rsid w:val="0066241B"/>
    <w:rsid w:val="00663AEA"/>
    <w:rsid w:val="00664091"/>
    <w:rsid w:val="006649D2"/>
    <w:rsid w:val="00664A95"/>
    <w:rsid w:val="00664BFE"/>
    <w:rsid w:val="00664E38"/>
    <w:rsid w:val="00664E91"/>
    <w:rsid w:val="0066530D"/>
    <w:rsid w:val="006657CB"/>
    <w:rsid w:val="00665B8E"/>
    <w:rsid w:val="00665CF5"/>
    <w:rsid w:val="006669DC"/>
    <w:rsid w:val="00666E9C"/>
    <w:rsid w:val="006673F3"/>
    <w:rsid w:val="00667512"/>
    <w:rsid w:val="00667599"/>
    <w:rsid w:val="006676C9"/>
    <w:rsid w:val="00667C2F"/>
    <w:rsid w:val="006704E7"/>
    <w:rsid w:val="00670546"/>
    <w:rsid w:val="00670DAF"/>
    <w:rsid w:val="006713B0"/>
    <w:rsid w:val="006714E0"/>
    <w:rsid w:val="0067155D"/>
    <w:rsid w:val="00672E3F"/>
    <w:rsid w:val="00673370"/>
    <w:rsid w:val="006737AA"/>
    <w:rsid w:val="006738CB"/>
    <w:rsid w:val="00674044"/>
    <w:rsid w:val="0067439B"/>
    <w:rsid w:val="00674FFA"/>
    <w:rsid w:val="00675CFF"/>
    <w:rsid w:val="006768C3"/>
    <w:rsid w:val="00676AC2"/>
    <w:rsid w:val="006770DF"/>
    <w:rsid w:val="00677522"/>
    <w:rsid w:val="00681616"/>
    <w:rsid w:val="006817C8"/>
    <w:rsid w:val="0068181A"/>
    <w:rsid w:val="00681EA7"/>
    <w:rsid w:val="00682721"/>
    <w:rsid w:val="006829E8"/>
    <w:rsid w:val="006830D6"/>
    <w:rsid w:val="006835DD"/>
    <w:rsid w:val="00683861"/>
    <w:rsid w:val="00683DB6"/>
    <w:rsid w:val="00684647"/>
    <w:rsid w:val="0068554A"/>
    <w:rsid w:val="00685BD4"/>
    <w:rsid w:val="0068606D"/>
    <w:rsid w:val="0068736C"/>
    <w:rsid w:val="00690C80"/>
    <w:rsid w:val="0069141B"/>
    <w:rsid w:val="0069167D"/>
    <w:rsid w:val="00692F51"/>
    <w:rsid w:val="006931E5"/>
    <w:rsid w:val="00693853"/>
    <w:rsid w:val="00693A55"/>
    <w:rsid w:val="0069478B"/>
    <w:rsid w:val="00694A68"/>
    <w:rsid w:val="0069594D"/>
    <w:rsid w:val="00695AE8"/>
    <w:rsid w:val="00695BFB"/>
    <w:rsid w:val="00695F79"/>
    <w:rsid w:val="0069607B"/>
    <w:rsid w:val="00697A74"/>
    <w:rsid w:val="00697F05"/>
    <w:rsid w:val="006A03A0"/>
    <w:rsid w:val="006A03EA"/>
    <w:rsid w:val="006A0655"/>
    <w:rsid w:val="006A0769"/>
    <w:rsid w:val="006A0958"/>
    <w:rsid w:val="006A0BC1"/>
    <w:rsid w:val="006A0CAA"/>
    <w:rsid w:val="006A0CF5"/>
    <w:rsid w:val="006A0EB9"/>
    <w:rsid w:val="006A1309"/>
    <w:rsid w:val="006A153B"/>
    <w:rsid w:val="006A1657"/>
    <w:rsid w:val="006A2001"/>
    <w:rsid w:val="006A2015"/>
    <w:rsid w:val="006A2D48"/>
    <w:rsid w:val="006A3663"/>
    <w:rsid w:val="006A36D5"/>
    <w:rsid w:val="006A38B5"/>
    <w:rsid w:val="006A3AB1"/>
    <w:rsid w:val="006A3AFC"/>
    <w:rsid w:val="006A3DB0"/>
    <w:rsid w:val="006A4005"/>
    <w:rsid w:val="006A4380"/>
    <w:rsid w:val="006A4A44"/>
    <w:rsid w:val="006A57F2"/>
    <w:rsid w:val="006A66D0"/>
    <w:rsid w:val="006A6A6C"/>
    <w:rsid w:val="006A72D6"/>
    <w:rsid w:val="006A73EF"/>
    <w:rsid w:val="006A78A0"/>
    <w:rsid w:val="006A79D9"/>
    <w:rsid w:val="006A7B61"/>
    <w:rsid w:val="006B03F8"/>
    <w:rsid w:val="006B045E"/>
    <w:rsid w:val="006B0509"/>
    <w:rsid w:val="006B0671"/>
    <w:rsid w:val="006B0DB5"/>
    <w:rsid w:val="006B1A08"/>
    <w:rsid w:val="006B1CB3"/>
    <w:rsid w:val="006B1F60"/>
    <w:rsid w:val="006B2895"/>
    <w:rsid w:val="006B305E"/>
    <w:rsid w:val="006B31D9"/>
    <w:rsid w:val="006B31DB"/>
    <w:rsid w:val="006B337D"/>
    <w:rsid w:val="006B422B"/>
    <w:rsid w:val="006B443D"/>
    <w:rsid w:val="006B48EA"/>
    <w:rsid w:val="006B4A01"/>
    <w:rsid w:val="006B50FC"/>
    <w:rsid w:val="006B560B"/>
    <w:rsid w:val="006B59A1"/>
    <w:rsid w:val="006B62F0"/>
    <w:rsid w:val="006B64C3"/>
    <w:rsid w:val="006B6D1D"/>
    <w:rsid w:val="006B6E88"/>
    <w:rsid w:val="006B6EA4"/>
    <w:rsid w:val="006B70E0"/>
    <w:rsid w:val="006B7DF1"/>
    <w:rsid w:val="006B7E0C"/>
    <w:rsid w:val="006B7E6A"/>
    <w:rsid w:val="006C08DA"/>
    <w:rsid w:val="006C1E11"/>
    <w:rsid w:val="006C2190"/>
    <w:rsid w:val="006C2897"/>
    <w:rsid w:val="006C2CCF"/>
    <w:rsid w:val="006C2F88"/>
    <w:rsid w:val="006C429D"/>
    <w:rsid w:val="006C4661"/>
    <w:rsid w:val="006C4A36"/>
    <w:rsid w:val="006C515C"/>
    <w:rsid w:val="006C520A"/>
    <w:rsid w:val="006C5228"/>
    <w:rsid w:val="006C5246"/>
    <w:rsid w:val="006C5A32"/>
    <w:rsid w:val="006C602E"/>
    <w:rsid w:val="006C62D2"/>
    <w:rsid w:val="006C6DAB"/>
    <w:rsid w:val="006C7263"/>
    <w:rsid w:val="006C7B74"/>
    <w:rsid w:val="006D061F"/>
    <w:rsid w:val="006D085B"/>
    <w:rsid w:val="006D0A34"/>
    <w:rsid w:val="006D16BA"/>
    <w:rsid w:val="006D21C4"/>
    <w:rsid w:val="006D279C"/>
    <w:rsid w:val="006D2D17"/>
    <w:rsid w:val="006D3123"/>
    <w:rsid w:val="006D31DC"/>
    <w:rsid w:val="006D3764"/>
    <w:rsid w:val="006D3AF3"/>
    <w:rsid w:val="006D4185"/>
    <w:rsid w:val="006D453B"/>
    <w:rsid w:val="006D4D04"/>
    <w:rsid w:val="006D51FA"/>
    <w:rsid w:val="006D5511"/>
    <w:rsid w:val="006D5671"/>
    <w:rsid w:val="006D5D09"/>
    <w:rsid w:val="006D620F"/>
    <w:rsid w:val="006D62CC"/>
    <w:rsid w:val="006D74FC"/>
    <w:rsid w:val="006D7B4B"/>
    <w:rsid w:val="006D7B7B"/>
    <w:rsid w:val="006D7B9F"/>
    <w:rsid w:val="006E0078"/>
    <w:rsid w:val="006E0101"/>
    <w:rsid w:val="006E0990"/>
    <w:rsid w:val="006E0E82"/>
    <w:rsid w:val="006E13CC"/>
    <w:rsid w:val="006E1461"/>
    <w:rsid w:val="006E1786"/>
    <w:rsid w:val="006E1C0D"/>
    <w:rsid w:val="006E22F9"/>
    <w:rsid w:val="006E2407"/>
    <w:rsid w:val="006E2974"/>
    <w:rsid w:val="006E2D08"/>
    <w:rsid w:val="006E349B"/>
    <w:rsid w:val="006E3F6D"/>
    <w:rsid w:val="006E4A7C"/>
    <w:rsid w:val="006E51DF"/>
    <w:rsid w:val="006E5318"/>
    <w:rsid w:val="006E59F8"/>
    <w:rsid w:val="006E63A5"/>
    <w:rsid w:val="006E7F82"/>
    <w:rsid w:val="006F0131"/>
    <w:rsid w:val="006F020B"/>
    <w:rsid w:val="006F0B90"/>
    <w:rsid w:val="006F2397"/>
    <w:rsid w:val="006F2CBC"/>
    <w:rsid w:val="006F35DB"/>
    <w:rsid w:val="006F40A8"/>
    <w:rsid w:val="006F4359"/>
    <w:rsid w:val="006F47B7"/>
    <w:rsid w:val="006F4FCD"/>
    <w:rsid w:val="006F55CE"/>
    <w:rsid w:val="006F5746"/>
    <w:rsid w:val="006F615B"/>
    <w:rsid w:val="006F61D4"/>
    <w:rsid w:val="006F6B2C"/>
    <w:rsid w:val="006F72C1"/>
    <w:rsid w:val="006F7430"/>
    <w:rsid w:val="006F7523"/>
    <w:rsid w:val="006F7B4F"/>
    <w:rsid w:val="007002B7"/>
    <w:rsid w:val="00700358"/>
    <w:rsid w:val="00700A3F"/>
    <w:rsid w:val="00700FC0"/>
    <w:rsid w:val="00701905"/>
    <w:rsid w:val="00701F7D"/>
    <w:rsid w:val="00702789"/>
    <w:rsid w:val="0070299E"/>
    <w:rsid w:val="00703591"/>
    <w:rsid w:val="007036B7"/>
    <w:rsid w:val="007037DB"/>
    <w:rsid w:val="00703851"/>
    <w:rsid w:val="007038A3"/>
    <w:rsid w:val="00704236"/>
    <w:rsid w:val="0070469E"/>
    <w:rsid w:val="00705943"/>
    <w:rsid w:val="00705EE9"/>
    <w:rsid w:val="0070634F"/>
    <w:rsid w:val="00706799"/>
    <w:rsid w:val="00706819"/>
    <w:rsid w:val="00706EA5"/>
    <w:rsid w:val="00706FFB"/>
    <w:rsid w:val="0070704E"/>
    <w:rsid w:val="007075F2"/>
    <w:rsid w:val="0070762F"/>
    <w:rsid w:val="00707B2F"/>
    <w:rsid w:val="00707CC5"/>
    <w:rsid w:val="00710EAC"/>
    <w:rsid w:val="00711234"/>
    <w:rsid w:val="00711475"/>
    <w:rsid w:val="00711A95"/>
    <w:rsid w:val="00711F71"/>
    <w:rsid w:val="007123B7"/>
    <w:rsid w:val="007123F8"/>
    <w:rsid w:val="00713547"/>
    <w:rsid w:val="00713A3F"/>
    <w:rsid w:val="00714990"/>
    <w:rsid w:val="00714FB8"/>
    <w:rsid w:val="00715233"/>
    <w:rsid w:val="007159E7"/>
    <w:rsid w:val="00716BB5"/>
    <w:rsid w:val="00716D0D"/>
    <w:rsid w:val="00716E80"/>
    <w:rsid w:val="00716F5C"/>
    <w:rsid w:val="00717982"/>
    <w:rsid w:val="00717A3B"/>
    <w:rsid w:val="00720479"/>
    <w:rsid w:val="007204BA"/>
    <w:rsid w:val="00720715"/>
    <w:rsid w:val="007207F2"/>
    <w:rsid w:val="00720D15"/>
    <w:rsid w:val="00720D1B"/>
    <w:rsid w:val="00720FDA"/>
    <w:rsid w:val="00721021"/>
    <w:rsid w:val="00721823"/>
    <w:rsid w:val="007219B6"/>
    <w:rsid w:val="00721BA1"/>
    <w:rsid w:val="00722255"/>
    <w:rsid w:val="007223DD"/>
    <w:rsid w:val="007228E2"/>
    <w:rsid w:val="00722A7C"/>
    <w:rsid w:val="00722FFF"/>
    <w:rsid w:val="007234CA"/>
    <w:rsid w:val="00724150"/>
    <w:rsid w:val="007243AC"/>
    <w:rsid w:val="007246A9"/>
    <w:rsid w:val="00724C12"/>
    <w:rsid w:val="00725445"/>
    <w:rsid w:val="007259D9"/>
    <w:rsid w:val="00725FA0"/>
    <w:rsid w:val="00726297"/>
    <w:rsid w:val="007278AB"/>
    <w:rsid w:val="00727A00"/>
    <w:rsid w:val="00727A4B"/>
    <w:rsid w:val="0073057F"/>
    <w:rsid w:val="0073073A"/>
    <w:rsid w:val="0073123D"/>
    <w:rsid w:val="007313EB"/>
    <w:rsid w:val="00731563"/>
    <w:rsid w:val="00731629"/>
    <w:rsid w:val="00731B48"/>
    <w:rsid w:val="00731F71"/>
    <w:rsid w:val="007329A8"/>
    <w:rsid w:val="007329DD"/>
    <w:rsid w:val="00732B40"/>
    <w:rsid w:val="00732E97"/>
    <w:rsid w:val="00732F7C"/>
    <w:rsid w:val="0073319C"/>
    <w:rsid w:val="007337DF"/>
    <w:rsid w:val="00733877"/>
    <w:rsid w:val="007338C2"/>
    <w:rsid w:val="007349B5"/>
    <w:rsid w:val="00734B8C"/>
    <w:rsid w:val="0073574D"/>
    <w:rsid w:val="0073630B"/>
    <w:rsid w:val="007364D8"/>
    <w:rsid w:val="007365D3"/>
    <w:rsid w:val="00736EA9"/>
    <w:rsid w:val="007375DF"/>
    <w:rsid w:val="00740075"/>
    <w:rsid w:val="007400EF"/>
    <w:rsid w:val="00740247"/>
    <w:rsid w:val="00740E47"/>
    <w:rsid w:val="00740F5C"/>
    <w:rsid w:val="0074118E"/>
    <w:rsid w:val="00741297"/>
    <w:rsid w:val="007417CB"/>
    <w:rsid w:val="00741969"/>
    <w:rsid w:val="00741B09"/>
    <w:rsid w:val="00741B94"/>
    <w:rsid w:val="00741E3D"/>
    <w:rsid w:val="0074256B"/>
    <w:rsid w:val="00742824"/>
    <w:rsid w:val="007432BB"/>
    <w:rsid w:val="00743574"/>
    <w:rsid w:val="00744845"/>
    <w:rsid w:val="00745178"/>
    <w:rsid w:val="00746F2E"/>
    <w:rsid w:val="00746FDD"/>
    <w:rsid w:val="007477EA"/>
    <w:rsid w:val="00750B28"/>
    <w:rsid w:val="00750DA8"/>
    <w:rsid w:val="0075109C"/>
    <w:rsid w:val="00751E51"/>
    <w:rsid w:val="00752365"/>
    <w:rsid w:val="00752E02"/>
    <w:rsid w:val="007534F9"/>
    <w:rsid w:val="007535C6"/>
    <w:rsid w:val="00753DAE"/>
    <w:rsid w:val="0075402D"/>
    <w:rsid w:val="007541F4"/>
    <w:rsid w:val="007549D3"/>
    <w:rsid w:val="007550A2"/>
    <w:rsid w:val="007550B0"/>
    <w:rsid w:val="007553C2"/>
    <w:rsid w:val="00755766"/>
    <w:rsid w:val="00756578"/>
    <w:rsid w:val="00756873"/>
    <w:rsid w:val="00756F85"/>
    <w:rsid w:val="0075700D"/>
    <w:rsid w:val="007579B4"/>
    <w:rsid w:val="00757CD2"/>
    <w:rsid w:val="00757DF8"/>
    <w:rsid w:val="0076081B"/>
    <w:rsid w:val="00761506"/>
    <w:rsid w:val="00761727"/>
    <w:rsid w:val="007617EC"/>
    <w:rsid w:val="00761CC5"/>
    <w:rsid w:val="00762587"/>
    <w:rsid w:val="00762758"/>
    <w:rsid w:val="00762797"/>
    <w:rsid w:val="00762B70"/>
    <w:rsid w:val="007630CE"/>
    <w:rsid w:val="007633F9"/>
    <w:rsid w:val="00763F3A"/>
    <w:rsid w:val="0076413A"/>
    <w:rsid w:val="007647B3"/>
    <w:rsid w:val="00764912"/>
    <w:rsid w:val="00764FEB"/>
    <w:rsid w:val="007656E6"/>
    <w:rsid w:val="00765A28"/>
    <w:rsid w:val="0076673D"/>
    <w:rsid w:val="007668C7"/>
    <w:rsid w:val="007675F0"/>
    <w:rsid w:val="00767B1F"/>
    <w:rsid w:val="00770564"/>
    <w:rsid w:val="00770A59"/>
    <w:rsid w:val="00770E3A"/>
    <w:rsid w:val="00771A89"/>
    <w:rsid w:val="00771AFF"/>
    <w:rsid w:val="0077209B"/>
    <w:rsid w:val="0077270C"/>
    <w:rsid w:val="00773701"/>
    <w:rsid w:val="0077397A"/>
    <w:rsid w:val="00773B29"/>
    <w:rsid w:val="00773D68"/>
    <w:rsid w:val="0077477C"/>
    <w:rsid w:val="00774FB0"/>
    <w:rsid w:val="0077534E"/>
    <w:rsid w:val="00775AFB"/>
    <w:rsid w:val="00775BF9"/>
    <w:rsid w:val="00775E3B"/>
    <w:rsid w:val="0077633E"/>
    <w:rsid w:val="007764EE"/>
    <w:rsid w:val="00776862"/>
    <w:rsid w:val="00776FE7"/>
    <w:rsid w:val="00777248"/>
    <w:rsid w:val="00777468"/>
    <w:rsid w:val="00777533"/>
    <w:rsid w:val="00777868"/>
    <w:rsid w:val="00777A37"/>
    <w:rsid w:val="00777AF5"/>
    <w:rsid w:val="00777C90"/>
    <w:rsid w:val="00777D4C"/>
    <w:rsid w:val="00780759"/>
    <w:rsid w:val="00780933"/>
    <w:rsid w:val="00780E9C"/>
    <w:rsid w:val="00780EC0"/>
    <w:rsid w:val="0078107B"/>
    <w:rsid w:val="0078146A"/>
    <w:rsid w:val="007817AC"/>
    <w:rsid w:val="00781F30"/>
    <w:rsid w:val="007824E7"/>
    <w:rsid w:val="00783421"/>
    <w:rsid w:val="0078368F"/>
    <w:rsid w:val="0078440E"/>
    <w:rsid w:val="00784449"/>
    <w:rsid w:val="00784981"/>
    <w:rsid w:val="00785B13"/>
    <w:rsid w:val="00786532"/>
    <w:rsid w:val="007867A7"/>
    <w:rsid w:val="00786B94"/>
    <w:rsid w:val="00787108"/>
    <w:rsid w:val="007877BE"/>
    <w:rsid w:val="007878E9"/>
    <w:rsid w:val="00787C06"/>
    <w:rsid w:val="00790665"/>
    <w:rsid w:val="007908C9"/>
    <w:rsid w:val="00790B73"/>
    <w:rsid w:val="00790F20"/>
    <w:rsid w:val="007912B5"/>
    <w:rsid w:val="0079172C"/>
    <w:rsid w:val="00791C93"/>
    <w:rsid w:val="00791F13"/>
    <w:rsid w:val="0079292A"/>
    <w:rsid w:val="00792B7B"/>
    <w:rsid w:val="00793377"/>
    <w:rsid w:val="00793393"/>
    <w:rsid w:val="007933E3"/>
    <w:rsid w:val="007935D5"/>
    <w:rsid w:val="007937C9"/>
    <w:rsid w:val="0079441A"/>
    <w:rsid w:val="00795650"/>
    <w:rsid w:val="007959BF"/>
    <w:rsid w:val="007960A1"/>
    <w:rsid w:val="00796A9F"/>
    <w:rsid w:val="00796DC9"/>
    <w:rsid w:val="007A01AA"/>
    <w:rsid w:val="007A03E6"/>
    <w:rsid w:val="007A04A7"/>
    <w:rsid w:val="007A0556"/>
    <w:rsid w:val="007A0D61"/>
    <w:rsid w:val="007A0E2C"/>
    <w:rsid w:val="007A0F36"/>
    <w:rsid w:val="007A12BD"/>
    <w:rsid w:val="007A16F7"/>
    <w:rsid w:val="007A1EAE"/>
    <w:rsid w:val="007A2047"/>
    <w:rsid w:val="007A260C"/>
    <w:rsid w:val="007A2891"/>
    <w:rsid w:val="007A2C7B"/>
    <w:rsid w:val="007A330B"/>
    <w:rsid w:val="007A3608"/>
    <w:rsid w:val="007A3959"/>
    <w:rsid w:val="007A4761"/>
    <w:rsid w:val="007A4A4D"/>
    <w:rsid w:val="007A4B67"/>
    <w:rsid w:val="007A4FEF"/>
    <w:rsid w:val="007A5332"/>
    <w:rsid w:val="007A5EA6"/>
    <w:rsid w:val="007A5F3E"/>
    <w:rsid w:val="007A6145"/>
    <w:rsid w:val="007A6396"/>
    <w:rsid w:val="007A63BE"/>
    <w:rsid w:val="007A6775"/>
    <w:rsid w:val="007A6950"/>
    <w:rsid w:val="007A6991"/>
    <w:rsid w:val="007A6AF4"/>
    <w:rsid w:val="007A6EF9"/>
    <w:rsid w:val="007A7269"/>
    <w:rsid w:val="007A7560"/>
    <w:rsid w:val="007A75AE"/>
    <w:rsid w:val="007A7909"/>
    <w:rsid w:val="007B0754"/>
    <w:rsid w:val="007B0759"/>
    <w:rsid w:val="007B0DAB"/>
    <w:rsid w:val="007B0F44"/>
    <w:rsid w:val="007B10ED"/>
    <w:rsid w:val="007B18DD"/>
    <w:rsid w:val="007B1E7A"/>
    <w:rsid w:val="007B2E30"/>
    <w:rsid w:val="007B38F9"/>
    <w:rsid w:val="007B4548"/>
    <w:rsid w:val="007B45BB"/>
    <w:rsid w:val="007B47FC"/>
    <w:rsid w:val="007B4ACB"/>
    <w:rsid w:val="007B4F33"/>
    <w:rsid w:val="007B5730"/>
    <w:rsid w:val="007B578D"/>
    <w:rsid w:val="007B59C8"/>
    <w:rsid w:val="007B6717"/>
    <w:rsid w:val="007B695B"/>
    <w:rsid w:val="007B6B86"/>
    <w:rsid w:val="007B7093"/>
    <w:rsid w:val="007B768C"/>
    <w:rsid w:val="007B772D"/>
    <w:rsid w:val="007B7C77"/>
    <w:rsid w:val="007B7EA4"/>
    <w:rsid w:val="007C005B"/>
    <w:rsid w:val="007C0063"/>
    <w:rsid w:val="007C037A"/>
    <w:rsid w:val="007C11C1"/>
    <w:rsid w:val="007C13EA"/>
    <w:rsid w:val="007C1864"/>
    <w:rsid w:val="007C199A"/>
    <w:rsid w:val="007C1ABB"/>
    <w:rsid w:val="007C2D61"/>
    <w:rsid w:val="007C36ED"/>
    <w:rsid w:val="007C412C"/>
    <w:rsid w:val="007C4309"/>
    <w:rsid w:val="007C4316"/>
    <w:rsid w:val="007C4630"/>
    <w:rsid w:val="007C4723"/>
    <w:rsid w:val="007C550B"/>
    <w:rsid w:val="007C57F6"/>
    <w:rsid w:val="007C6B64"/>
    <w:rsid w:val="007C6BC9"/>
    <w:rsid w:val="007C7102"/>
    <w:rsid w:val="007C7A57"/>
    <w:rsid w:val="007D04FB"/>
    <w:rsid w:val="007D06F8"/>
    <w:rsid w:val="007D1414"/>
    <w:rsid w:val="007D15B6"/>
    <w:rsid w:val="007D1E64"/>
    <w:rsid w:val="007D2C78"/>
    <w:rsid w:val="007D2C8B"/>
    <w:rsid w:val="007D2CD7"/>
    <w:rsid w:val="007D2E9A"/>
    <w:rsid w:val="007D336A"/>
    <w:rsid w:val="007D3A78"/>
    <w:rsid w:val="007D419D"/>
    <w:rsid w:val="007D42C8"/>
    <w:rsid w:val="007D4661"/>
    <w:rsid w:val="007D4821"/>
    <w:rsid w:val="007D4ECA"/>
    <w:rsid w:val="007D5448"/>
    <w:rsid w:val="007D56D7"/>
    <w:rsid w:val="007D58EB"/>
    <w:rsid w:val="007D611B"/>
    <w:rsid w:val="007D69C1"/>
    <w:rsid w:val="007D6F27"/>
    <w:rsid w:val="007E021E"/>
    <w:rsid w:val="007E0241"/>
    <w:rsid w:val="007E051A"/>
    <w:rsid w:val="007E0861"/>
    <w:rsid w:val="007E0E5C"/>
    <w:rsid w:val="007E0F71"/>
    <w:rsid w:val="007E0FB5"/>
    <w:rsid w:val="007E1046"/>
    <w:rsid w:val="007E1284"/>
    <w:rsid w:val="007E1546"/>
    <w:rsid w:val="007E15ED"/>
    <w:rsid w:val="007E1C1D"/>
    <w:rsid w:val="007E1CBB"/>
    <w:rsid w:val="007E1E35"/>
    <w:rsid w:val="007E241C"/>
    <w:rsid w:val="007E287C"/>
    <w:rsid w:val="007E2929"/>
    <w:rsid w:val="007E2EAD"/>
    <w:rsid w:val="007E2EFF"/>
    <w:rsid w:val="007E3559"/>
    <w:rsid w:val="007E3AC6"/>
    <w:rsid w:val="007E46CC"/>
    <w:rsid w:val="007E51A7"/>
    <w:rsid w:val="007E54AA"/>
    <w:rsid w:val="007E56B1"/>
    <w:rsid w:val="007E58EB"/>
    <w:rsid w:val="007E5B89"/>
    <w:rsid w:val="007E67C8"/>
    <w:rsid w:val="007E6909"/>
    <w:rsid w:val="007E6C64"/>
    <w:rsid w:val="007F0021"/>
    <w:rsid w:val="007F019A"/>
    <w:rsid w:val="007F04A3"/>
    <w:rsid w:val="007F125E"/>
    <w:rsid w:val="007F13FB"/>
    <w:rsid w:val="007F14AE"/>
    <w:rsid w:val="007F187F"/>
    <w:rsid w:val="007F236A"/>
    <w:rsid w:val="007F2628"/>
    <w:rsid w:val="007F2665"/>
    <w:rsid w:val="007F2BE4"/>
    <w:rsid w:val="007F3021"/>
    <w:rsid w:val="007F3F7D"/>
    <w:rsid w:val="007F5B15"/>
    <w:rsid w:val="007F5BF7"/>
    <w:rsid w:val="007F61D4"/>
    <w:rsid w:val="007F640C"/>
    <w:rsid w:val="007F671A"/>
    <w:rsid w:val="007F6735"/>
    <w:rsid w:val="007F6B7F"/>
    <w:rsid w:val="007F6D3D"/>
    <w:rsid w:val="007F6FDB"/>
    <w:rsid w:val="007F7987"/>
    <w:rsid w:val="00800575"/>
    <w:rsid w:val="008005B7"/>
    <w:rsid w:val="008007DD"/>
    <w:rsid w:val="00800BBE"/>
    <w:rsid w:val="00801647"/>
    <w:rsid w:val="00802D3D"/>
    <w:rsid w:val="00803138"/>
    <w:rsid w:val="008036C8"/>
    <w:rsid w:val="008037C1"/>
    <w:rsid w:val="00804C22"/>
    <w:rsid w:val="00804C33"/>
    <w:rsid w:val="00804CD5"/>
    <w:rsid w:val="0080521E"/>
    <w:rsid w:val="0080530C"/>
    <w:rsid w:val="008054DD"/>
    <w:rsid w:val="008059B2"/>
    <w:rsid w:val="008059DA"/>
    <w:rsid w:val="00805C93"/>
    <w:rsid w:val="0080616B"/>
    <w:rsid w:val="0080620C"/>
    <w:rsid w:val="00806238"/>
    <w:rsid w:val="0080723C"/>
    <w:rsid w:val="0080725E"/>
    <w:rsid w:val="00807668"/>
    <w:rsid w:val="0080793C"/>
    <w:rsid w:val="00807DF4"/>
    <w:rsid w:val="0081046E"/>
    <w:rsid w:val="0081071C"/>
    <w:rsid w:val="0081094D"/>
    <w:rsid w:val="00811055"/>
    <w:rsid w:val="008116E6"/>
    <w:rsid w:val="00811D59"/>
    <w:rsid w:val="00811FF6"/>
    <w:rsid w:val="008120D7"/>
    <w:rsid w:val="008121C6"/>
    <w:rsid w:val="00812F38"/>
    <w:rsid w:val="008132D5"/>
    <w:rsid w:val="008134E0"/>
    <w:rsid w:val="0081359C"/>
    <w:rsid w:val="008135D0"/>
    <w:rsid w:val="00813FD6"/>
    <w:rsid w:val="0081405E"/>
    <w:rsid w:val="0081469A"/>
    <w:rsid w:val="008146E1"/>
    <w:rsid w:val="008152A7"/>
    <w:rsid w:val="00815B06"/>
    <w:rsid w:val="008179DC"/>
    <w:rsid w:val="00817D04"/>
    <w:rsid w:val="00817D23"/>
    <w:rsid w:val="00817F8D"/>
    <w:rsid w:val="008203BC"/>
    <w:rsid w:val="008209D0"/>
    <w:rsid w:val="00820E21"/>
    <w:rsid w:val="00820EF3"/>
    <w:rsid w:val="00821D69"/>
    <w:rsid w:val="00822043"/>
    <w:rsid w:val="008229A0"/>
    <w:rsid w:val="00824840"/>
    <w:rsid w:val="00824B23"/>
    <w:rsid w:val="00825074"/>
    <w:rsid w:val="00825628"/>
    <w:rsid w:val="00826030"/>
    <w:rsid w:val="0082605D"/>
    <w:rsid w:val="008267A4"/>
    <w:rsid w:val="00827667"/>
    <w:rsid w:val="00830123"/>
    <w:rsid w:val="00830C65"/>
    <w:rsid w:val="00831A78"/>
    <w:rsid w:val="00832764"/>
    <w:rsid w:val="00832F3E"/>
    <w:rsid w:val="0083337F"/>
    <w:rsid w:val="00833462"/>
    <w:rsid w:val="0083399C"/>
    <w:rsid w:val="00833A13"/>
    <w:rsid w:val="00835A11"/>
    <w:rsid w:val="00836B83"/>
    <w:rsid w:val="0083762C"/>
    <w:rsid w:val="00837971"/>
    <w:rsid w:val="00837D47"/>
    <w:rsid w:val="008402EF"/>
    <w:rsid w:val="008407A5"/>
    <w:rsid w:val="008407B8"/>
    <w:rsid w:val="0084148F"/>
    <w:rsid w:val="00841D3A"/>
    <w:rsid w:val="00842376"/>
    <w:rsid w:val="00842C6C"/>
    <w:rsid w:val="0084340D"/>
    <w:rsid w:val="0084476B"/>
    <w:rsid w:val="00845AAD"/>
    <w:rsid w:val="008462ED"/>
    <w:rsid w:val="00846785"/>
    <w:rsid w:val="00846DE9"/>
    <w:rsid w:val="00847364"/>
    <w:rsid w:val="00847AE0"/>
    <w:rsid w:val="00847E7D"/>
    <w:rsid w:val="0085082E"/>
    <w:rsid w:val="00850E1F"/>
    <w:rsid w:val="00851172"/>
    <w:rsid w:val="00851544"/>
    <w:rsid w:val="00851695"/>
    <w:rsid w:val="00851A3E"/>
    <w:rsid w:val="00851CEB"/>
    <w:rsid w:val="008522AB"/>
    <w:rsid w:val="00852894"/>
    <w:rsid w:val="0085308F"/>
    <w:rsid w:val="0085343C"/>
    <w:rsid w:val="0085374F"/>
    <w:rsid w:val="008537FD"/>
    <w:rsid w:val="00853950"/>
    <w:rsid w:val="008546F6"/>
    <w:rsid w:val="00854A73"/>
    <w:rsid w:val="00854AFA"/>
    <w:rsid w:val="00854C95"/>
    <w:rsid w:val="00855D80"/>
    <w:rsid w:val="00856423"/>
    <w:rsid w:val="0085703B"/>
    <w:rsid w:val="008577C2"/>
    <w:rsid w:val="00860301"/>
    <w:rsid w:val="00860975"/>
    <w:rsid w:val="0086114F"/>
    <w:rsid w:val="008612B1"/>
    <w:rsid w:val="008616D2"/>
    <w:rsid w:val="00861BC5"/>
    <w:rsid w:val="00861E16"/>
    <w:rsid w:val="00861F38"/>
    <w:rsid w:val="00862132"/>
    <w:rsid w:val="00862D29"/>
    <w:rsid w:val="008632AD"/>
    <w:rsid w:val="0086435F"/>
    <w:rsid w:val="008644C8"/>
    <w:rsid w:val="00864516"/>
    <w:rsid w:val="00864696"/>
    <w:rsid w:val="00864A1A"/>
    <w:rsid w:val="00864B65"/>
    <w:rsid w:val="00864C43"/>
    <w:rsid w:val="00864CFD"/>
    <w:rsid w:val="00864DB5"/>
    <w:rsid w:val="00864F44"/>
    <w:rsid w:val="008651A8"/>
    <w:rsid w:val="008655E1"/>
    <w:rsid w:val="00865610"/>
    <w:rsid w:val="00865640"/>
    <w:rsid w:val="0086638A"/>
    <w:rsid w:val="00866646"/>
    <w:rsid w:val="00866A40"/>
    <w:rsid w:val="00866DE5"/>
    <w:rsid w:val="00867116"/>
    <w:rsid w:val="00867E54"/>
    <w:rsid w:val="00870A29"/>
    <w:rsid w:val="00870AB3"/>
    <w:rsid w:val="00870BAC"/>
    <w:rsid w:val="00870E91"/>
    <w:rsid w:val="00870F6F"/>
    <w:rsid w:val="00871343"/>
    <w:rsid w:val="008717DA"/>
    <w:rsid w:val="00871B61"/>
    <w:rsid w:val="00871E28"/>
    <w:rsid w:val="00872118"/>
    <w:rsid w:val="008726F6"/>
    <w:rsid w:val="00873379"/>
    <w:rsid w:val="00873930"/>
    <w:rsid w:val="00873AD5"/>
    <w:rsid w:val="00874226"/>
    <w:rsid w:val="008743B8"/>
    <w:rsid w:val="00874614"/>
    <w:rsid w:val="008748AF"/>
    <w:rsid w:val="00874CB9"/>
    <w:rsid w:val="00874E99"/>
    <w:rsid w:val="00874F50"/>
    <w:rsid w:val="00875341"/>
    <w:rsid w:val="0087564F"/>
    <w:rsid w:val="0087655B"/>
    <w:rsid w:val="00877085"/>
    <w:rsid w:val="00877284"/>
    <w:rsid w:val="00877CBE"/>
    <w:rsid w:val="00880065"/>
    <w:rsid w:val="00880719"/>
    <w:rsid w:val="0088081C"/>
    <w:rsid w:val="00880AAF"/>
    <w:rsid w:val="008827B1"/>
    <w:rsid w:val="008834DF"/>
    <w:rsid w:val="00883A15"/>
    <w:rsid w:val="00883F59"/>
    <w:rsid w:val="008847D1"/>
    <w:rsid w:val="00884CE6"/>
    <w:rsid w:val="00885A93"/>
    <w:rsid w:val="00885BA6"/>
    <w:rsid w:val="00885F0E"/>
    <w:rsid w:val="008863E8"/>
    <w:rsid w:val="00887181"/>
    <w:rsid w:val="008876E9"/>
    <w:rsid w:val="00887CAC"/>
    <w:rsid w:val="00890120"/>
    <w:rsid w:val="00890E5F"/>
    <w:rsid w:val="0089244E"/>
    <w:rsid w:val="00892759"/>
    <w:rsid w:val="008927AA"/>
    <w:rsid w:val="008931A3"/>
    <w:rsid w:val="00893357"/>
    <w:rsid w:val="008935ED"/>
    <w:rsid w:val="00893A1B"/>
    <w:rsid w:val="00894B11"/>
    <w:rsid w:val="008953ED"/>
    <w:rsid w:val="008957E7"/>
    <w:rsid w:val="008959AD"/>
    <w:rsid w:val="00895A36"/>
    <w:rsid w:val="00895AE4"/>
    <w:rsid w:val="00895E78"/>
    <w:rsid w:val="00896208"/>
    <w:rsid w:val="00896AF6"/>
    <w:rsid w:val="00897C14"/>
    <w:rsid w:val="008A08CC"/>
    <w:rsid w:val="008A0C82"/>
    <w:rsid w:val="008A192C"/>
    <w:rsid w:val="008A1DB6"/>
    <w:rsid w:val="008A258A"/>
    <w:rsid w:val="008A2BCD"/>
    <w:rsid w:val="008A31AD"/>
    <w:rsid w:val="008A3370"/>
    <w:rsid w:val="008A34E6"/>
    <w:rsid w:val="008A3943"/>
    <w:rsid w:val="008A3DE9"/>
    <w:rsid w:val="008A4059"/>
    <w:rsid w:val="008A595B"/>
    <w:rsid w:val="008A59E1"/>
    <w:rsid w:val="008A5F57"/>
    <w:rsid w:val="008A5F9F"/>
    <w:rsid w:val="008A6684"/>
    <w:rsid w:val="008A6B4A"/>
    <w:rsid w:val="008A74AB"/>
    <w:rsid w:val="008A796A"/>
    <w:rsid w:val="008A79DB"/>
    <w:rsid w:val="008A7B99"/>
    <w:rsid w:val="008A7FF4"/>
    <w:rsid w:val="008B069A"/>
    <w:rsid w:val="008B1337"/>
    <w:rsid w:val="008B1A2D"/>
    <w:rsid w:val="008B1BD0"/>
    <w:rsid w:val="008B3058"/>
    <w:rsid w:val="008B3157"/>
    <w:rsid w:val="008B3337"/>
    <w:rsid w:val="008B35F3"/>
    <w:rsid w:val="008B3695"/>
    <w:rsid w:val="008B424E"/>
    <w:rsid w:val="008B4CB8"/>
    <w:rsid w:val="008B53E9"/>
    <w:rsid w:val="008B5425"/>
    <w:rsid w:val="008B582B"/>
    <w:rsid w:val="008C0258"/>
    <w:rsid w:val="008C1550"/>
    <w:rsid w:val="008C17FE"/>
    <w:rsid w:val="008C1C15"/>
    <w:rsid w:val="008C1E23"/>
    <w:rsid w:val="008C2252"/>
    <w:rsid w:val="008C2BDF"/>
    <w:rsid w:val="008C2D06"/>
    <w:rsid w:val="008C2F27"/>
    <w:rsid w:val="008C2FA3"/>
    <w:rsid w:val="008C3A9D"/>
    <w:rsid w:val="008C3D1B"/>
    <w:rsid w:val="008C3D9A"/>
    <w:rsid w:val="008C3DC7"/>
    <w:rsid w:val="008C3FF4"/>
    <w:rsid w:val="008C4102"/>
    <w:rsid w:val="008C4193"/>
    <w:rsid w:val="008C4552"/>
    <w:rsid w:val="008C483A"/>
    <w:rsid w:val="008C4867"/>
    <w:rsid w:val="008C50EE"/>
    <w:rsid w:val="008C5486"/>
    <w:rsid w:val="008C56B6"/>
    <w:rsid w:val="008C56E1"/>
    <w:rsid w:val="008C6418"/>
    <w:rsid w:val="008C6914"/>
    <w:rsid w:val="008C73C0"/>
    <w:rsid w:val="008C75CE"/>
    <w:rsid w:val="008C768B"/>
    <w:rsid w:val="008D0C12"/>
    <w:rsid w:val="008D15E7"/>
    <w:rsid w:val="008D1840"/>
    <w:rsid w:val="008D1D57"/>
    <w:rsid w:val="008D1F70"/>
    <w:rsid w:val="008D1FF5"/>
    <w:rsid w:val="008D2B36"/>
    <w:rsid w:val="008D2F3D"/>
    <w:rsid w:val="008D3758"/>
    <w:rsid w:val="008D3D13"/>
    <w:rsid w:val="008D4301"/>
    <w:rsid w:val="008D43C2"/>
    <w:rsid w:val="008D452E"/>
    <w:rsid w:val="008D4DD2"/>
    <w:rsid w:val="008D512B"/>
    <w:rsid w:val="008D54A8"/>
    <w:rsid w:val="008D5E30"/>
    <w:rsid w:val="008D6DAE"/>
    <w:rsid w:val="008D7624"/>
    <w:rsid w:val="008E05D5"/>
    <w:rsid w:val="008E163D"/>
    <w:rsid w:val="008E1D74"/>
    <w:rsid w:val="008E2012"/>
    <w:rsid w:val="008E3397"/>
    <w:rsid w:val="008E3653"/>
    <w:rsid w:val="008E3869"/>
    <w:rsid w:val="008E40EA"/>
    <w:rsid w:val="008E56A9"/>
    <w:rsid w:val="008E57E3"/>
    <w:rsid w:val="008E73CB"/>
    <w:rsid w:val="008E77D6"/>
    <w:rsid w:val="008E798A"/>
    <w:rsid w:val="008E7B54"/>
    <w:rsid w:val="008E7C08"/>
    <w:rsid w:val="008E7D71"/>
    <w:rsid w:val="008F0C74"/>
    <w:rsid w:val="008F2D15"/>
    <w:rsid w:val="008F378E"/>
    <w:rsid w:val="008F37CA"/>
    <w:rsid w:val="008F42A3"/>
    <w:rsid w:val="008F4617"/>
    <w:rsid w:val="008F4627"/>
    <w:rsid w:val="008F54AE"/>
    <w:rsid w:val="008F5D2A"/>
    <w:rsid w:val="008F654F"/>
    <w:rsid w:val="008F6987"/>
    <w:rsid w:val="008F6AD7"/>
    <w:rsid w:val="00900648"/>
    <w:rsid w:val="009009F2"/>
    <w:rsid w:val="00900B14"/>
    <w:rsid w:val="00900B4D"/>
    <w:rsid w:val="00900B78"/>
    <w:rsid w:val="00900DD3"/>
    <w:rsid w:val="009010A6"/>
    <w:rsid w:val="00901309"/>
    <w:rsid w:val="009017DE"/>
    <w:rsid w:val="00901B09"/>
    <w:rsid w:val="00902C49"/>
    <w:rsid w:val="00902CE1"/>
    <w:rsid w:val="009030E2"/>
    <w:rsid w:val="009032EB"/>
    <w:rsid w:val="0090358B"/>
    <w:rsid w:val="009035DD"/>
    <w:rsid w:val="00903806"/>
    <w:rsid w:val="00903944"/>
    <w:rsid w:val="009039D8"/>
    <w:rsid w:val="00903A79"/>
    <w:rsid w:val="00903C14"/>
    <w:rsid w:val="00903CEB"/>
    <w:rsid w:val="00903F19"/>
    <w:rsid w:val="00904355"/>
    <w:rsid w:val="00904972"/>
    <w:rsid w:val="009060D4"/>
    <w:rsid w:val="00906106"/>
    <w:rsid w:val="009061C1"/>
    <w:rsid w:val="00907D6D"/>
    <w:rsid w:val="00910252"/>
    <w:rsid w:val="00910881"/>
    <w:rsid w:val="00911155"/>
    <w:rsid w:val="00911263"/>
    <w:rsid w:val="009113A4"/>
    <w:rsid w:val="00911BD2"/>
    <w:rsid w:val="00912643"/>
    <w:rsid w:val="009127EC"/>
    <w:rsid w:val="00912D93"/>
    <w:rsid w:val="00912F9F"/>
    <w:rsid w:val="009135C8"/>
    <w:rsid w:val="009137CF"/>
    <w:rsid w:val="00913EE5"/>
    <w:rsid w:val="009145B4"/>
    <w:rsid w:val="00914A71"/>
    <w:rsid w:val="00914D0E"/>
    <w:rsid w:val="00915004"/>
    <w:rsid w:val="009158B2"/>
    <w:rsid w:val="00915E6A"/>
    <w:rsid w:val="0091610D"/>
    <w:rsid w:val="00916242"/>
    <w:rsid w:val="0091684F"/>
    <w:rsid w:val="00916D42"/>
    <w:rsid w:val="00917686"/>
    <w:rsid w:val="00917FCE"/>
    <w:rsid w:val="00920534"/>
    <w:rsid w:val="009206E6"/>
    <w:rsid w:val="0092070D"/>
    <w:rsid w:val="00920C11"/>
    <w:rsid w:val="00920CE6"/>
    <w:rsid w:val="00920EEA"/>
    <w:rsid w:val="00921728"/>
    <w:rsid w:val="009219FB"/>
    <w:rsid w:val="00922188"/>
    <w:rsid w:val="00922299"/>
    <w:rsid w:val="00922563"/>
    <w:rsid w:val="009227C9"/>
    <w:rsid w:val="00922822"/>
    <w:rsid w:val="00923016"/>
    <w:rsid w:val="00923192"/>
    <w:rsid w:val="00923982"/>
    <w:rsid w:val="00923FF4"/>
    <w:rsid w:val="0092484A"/>
    <w:rsid w:val="00924E89"/>
    <w:rsid w:val="009251E3"/>
    <w:rsid w:val="009256E6"/>
    <w:rsid w:val="00925CDE"/>
    <w:rsid w:val="00925FF6"/>
    <w:rsid w:val="009261BD"/>
    <w:rsid w:val="009274AF"/>
    <w:rsid w:val="00927FD3"/>
    <w:rsid w:val="0093027A"/>
    <w:rsid w:val="00930693"/>
    <w:rsid w:val="009306B9"/>
    <w:rsid w:val="00930CF1"/>
    <w:rsid w:val="00930CFB"/>
    <w:rsid w:val="00930F72"/>
    <w:rsid w:val="009317D6"/>
    <w:rsid w:val="00931C73"/>
    <w:rsid w:val="009338A3"/>
    <w:rsid w:val="00933DF4"/>
    <w:rsid w:val="00934EFA"/>
    <w:rsid w:val="009355D6"/>
    <w:rsid w:val="00935FA4"/>
    <w:rsid w:val="00936992"/>
    <w:rsid w:val="009369D0"/>
    <w:rsid w:val="00936A33"/>
    <w:rsid w:val="00936F27"/>
    <w:rsid w:val="009371F1"/>
    <w:rsid w:val="00937202"/>
    <w:rsid w:val="009375F3"/>
    <w:rsid w:val="009378AA"/>
    <w:rsid w:val="0093795B"/>
    <w:rsid w:val="0094042F"/>
    <w:rsid w:val="009404F3"/>
    <w:rsid w:val="00940735"/>
    <w:rsid w:val="00940846"/>
    <w:rsid w:val="00941A02"/>
    <w:rsid w:val="0094230A"/>
    <w:rsid w:val="009428F4"/>
    <w:rsid w:val="00943731"/>
    <w:rsid w:val="00943DA0"/>
    <w:rsid w:val="00944129"/>
    <w:rsid w:val="0094479E"/>
    <w:rsid w:val="00945598"/>
    <w:rsid w:val="00945C23"/>
    <w:rsid w:val="00945D43"/>
    <w:rsid w:val="00945FD5"/>
    <w:rsid w:val="0094636C"/>
    <w:rsid w:val="0094689D"/>
    <w:rsid w:val="00946FC1"/>
    <w:rsid w:val="00947A50"/>
    <w:rsid w:val="009508EB"/>
    <w:rsid w:val="00951C02"/>
    <w:rsid w:val="00952F8C"/>
    <w:rsid w:val="009537B5"/>
    <w:rsid w:val="0095384C"/>
    <w:rsid w:val="00953FE9"/>
    <w:rsid w:val="00954136"/>
    <w:rsid w:val="009556C5"/>
    <w:rsid w:val="0095688F"/>
    <w:rsid w:val="009568A7"/>
    <w:rsid w:val="00956A89"/>
    <w:rsid w:val="00956AB4"/>
    <w:rsid w:val="00956C72"/>
    <w:rsid w:val="00956E5B"/>
    <w:rsid w:val="00956F0D"/>
    <w:rsid w:val="00956F1A"/>
    <w:rsid w:val="00957335"/>
    <w:rsid w:val="00957508"/>
    <w:rsid w:val="00957C66"/>
    <w:rsid w:val="00960696"/>
    <w:rsid w:val="00960749"/>
    <w:rsid w:val="009607CD"/>
    <w:rsid w:val="00960933"/>
    <w:rsid w:val="00960AF1"/>
    <w:rsid w:val="00960F73"/>
    <w:rsid w:val="0096105C"/>
    <w:rsid w:val="0096119F"/>
    <w:rsid w:val="00961A04"/>
    <w:rsid w:val="00961B8B"/>
    <w:rsid w:val="009624B5"/>
    <w:rsid w:val="00962514"/>
    <w:rsid w:val="009626A4"/>
    <w:rsid w:val="00962730"/>
    <w:rsid w:val="00962D40"/>
    <w:rsid w:val="00963131"/>
    <w:rsid w:val="00963817"/>
    <w:rsid w:val="00963932"/>
    <w:rsid w:val="00963D3C"/>
    <w:rsid w:val="00963FF9"/>
    <w:rsid w:val="00964CF2"/>
    <w:rsid w:val="00965907"/>
    <w:rsid w:val="00965BC0"/>
    <w:rsid w:val="00965C4B"/>
    <w:rsid w:val="00965EE9"/>
    <w:rsid w:val="00965F26"/>
    <w:rsid w:val="009661D7"/>
    <w:rsid w:val="009667AB"/>
    <w:rsid w:val="0096686C"/>
    <w:rsid w:val="00966D04"/>
    <w:rsid w:val="009675CE"/>
    <w:rsid w:val="00967B85"/>
    <w:rsid w:val="00967E84"/>
    <w:rsid w:val="00967EF1"/>
    <w:rsid w:val="00970984"/>
    <w:rsid w:val="009716A9"/>
    <w:rsid w:val="00971D8D"/>
    <w:rsid w:val="009720BC"/>
    <w:rsid w:val="00972B5F"/>
    <w:rsid w:val="00972E07"/>
    <w:rsid w:val="009733FD"/>
    <w:rsid w:val="009735AD"/>
    <w:rsid w:val="009737CF"/>
    <w:rsid w:val="00973ACE"/>
    <w:rsid w:val="00973B1F"/>
    <w:rsid w:val="0097435E"/>
    <w:rsid w:val="009744E4"/>
    <w:rsid w:val="00975459"/>
    <w:rsid w:val="00975DE1"/>
    <w:rsid w:val="00977098"/>
    <w:rsid w:val="00977252"/>
    <w:rsid w:val="00977372"/>
    <w:rsid w:val="00977781"/>
    <w:rsid w:val="009778D3"/>
    <w:rsid w:val="00977EEB"/>
    <w:rsid w:val="009804A0"/>
    <w:rsid w:val="00980BDE"/>
    <w:rsid w:val="00980BE0"/>
    <w:rsid w:val="00980FD7"/>
    <w:rsid w:val="0098115C"/>
    <w:rsid w:val="00981773"/>
    <w:rsid w:val="0098226C"/>
    <w:rsid w:val="00982438"/>
    <w:rsid w:val="00983159"/>
    <w:rsid w:val="00983672"/>
    <w:rsid w:val="00983784"/>
    <w:rsid w:val="00983BD2"/>
    <w:rsid w:val="00983BD7"/>
    <w:rsid w:val="00983CB7"/>
    <w:rsid w:val="00983D0F"/>
    <w:rsid w:val="009846C4"/>
    <w:rsid w:val="00984882"/>
    <w:rsid w:val="00984949"/>
    <w:rsid w:val="00984975"/>
    <w:rsid w:val="009849D7"/>
    <w:rsid w:val="00984B74"/>
    <w:rsid w:val="009850FA"/>
    <w:rsid w:val="009854AD"/>
    <w:rsid w:val="009858BF"/>
    <w:rsid w:val="0098593E"/>
    <w:rsid w:val="009859A3"/>
    <w:rsid w:val="00985A52"/>
    <w:rsid w:val="009860EC"/>
    <w:rsid w:val="00986D83"/>
    <w:rsid w:val="009870F2"/>
    <w:rsid w:val="009877DE"/>
    <w:rsid w:val="00987DE5"/>
    <w:rsid w:val="009900FC"/>
    <w:rsid w:val="00990219"/>
    <w:rsid w:val="00990A43"/>
    <w:rsid w:val="009917B8"/>
    <w:rsid w:val="00991813"/>
    <w:rsid w:val="009919F3"/>
    <w:rsid w:val="00991DA3"/>
    <w:rsid w:val="009921FE"/>
    <w:rsid w:val="00992433"/>
    <w:rsid w:val="0099243E"/>
    <w:rsid w:val="009927B4"/>
    <w:rsid w:val="00992A3C"/>
    <w:rsid w:val="00992C1B"/>
    <w:rsid w:val="00992CAC"/>
    <w:rsid w:val="00992CD5"/>
    <w:rsid w:val="00992E8B"/>
    <w:rsid w:val="00992FB4"/>
    <w:rsid w:val="00993262"/>
    <w:rsid w:val="00993DC6"/>
    <w:rsid w:val="009948C1"/>
    <w:rsid w:val="00994B78"/>
    <w:rsid w:val="00994D38"/>
    <w:rsid w:val="00994EFB"/>
    <w:rsid w:val="00995981"/>
    <w:rsid w:val="00995D47"/>
    <w:rsid w:val="0099606F"/>
    <w:rsid w:val="009969DF"/>
    <w:rsid w:val="00996AF0"/>
    <w:rsid w:val="00997206"/>
    <w:rsid w:val="00997277"/>
    <w:rsid w:val="00997B01"/>
    <w:rsid w:val="00997C77"/>
    <w:rsid w:val="00997E38"/>
    <w:rsid w:val="00997F97"/>
    <w:rsid w:val="009A05BD"/>
    <w:rsid w:val="009A085C"/>
    <w:rsid w:val="009A0C9B"/>
    <w:rsid w:val="009A0E64"/>
    <w:rsid w:val="009A1158"/>
    <w:rsid w:val="009A117A"/>
    <w:rsid w:val="009A123A"/>
    <w:rsid w:val="009A14C0"/>
    <w:rsid w:val="009A1BF5"/>
    <w:rsid w:val="009A2A57"/>
    <w:rsid w:val="009A2F96"/>
    <w:rsid w:val="009A326B"/>
    <w:rsid w:val="009A32D6"/>
    <w:rsid w:val="009A38D7"/>
    <w:rsid w:val="009A400E"/>
    <w:rsid w:val="009A4507"/>
    <w:rsid w:val="009A46BA"/>
    <w:rsid w:val="009A55F0"/>
    <w:rsid w:val="009A5EFE"/>
    <w:rsid w:val="009A5F0E"/>
    <w:rsid w:val="009A6BE2"/>
    <w:rsid w:val="009A766D"/>
    <w:rsid w:val="009B0351"/>
    <w:rsid w:val="009B0E08"/>
    <w:rsid w:val="009B1EA0"/>
    <w:rsid w:val="009B25F9"/>
    <w:rsid w:val="009B2BE7"/>
    <w:rsid w:val="009B3291"/>
    <w:rsid w:val="009B338D"/>
    <w:rsid w:val="009B3468"/>
    <w:rsid w:val="009B3CB1"/>
    <w:rsid w:val="009B3CC9"/>
    <w:rsid w:val="009B40D8"/>
    <w:rsid w:val="009B418C"/>
    <w:rsid w:val="009B4EF8"/>
    <w:rsid w:val="009B4F2C"/>
    <w:rsid w:val="009B5775"/>
    <w:rsid w:val="009B5DAB"/>
    <w:rsid w:val="009B620F"/>
    <w:rsid w:val="009B6BEA"/>
    <w:rsid w:val="009B6E9B"/>
    <w:rsid w:val="009B7DC0"/>
    <w:rsid w:val="009C129C"/>
    <w:rsid w:val="009C1C73"/>
    <w:rsid w:val="009C223A"/>
    <w:rsid w:val="009C23EF"/>
    <w:rsid w:val="009C263A"/>
    <w:rsid w:val="009C2B7F"/>
    <w:rsid w:val="009C3558"/>
    <w:rsid w:val="009C37CB"/>
    <w:rsid w:val="009C38CE"/>
    <w:rsid w:val="009C3A7F"/>
    <w:rsid w:val="009C3AB6"/>
    <w:rsid w:val="009C3C56"/>
    <w:rsid w:val="009C3DC1"/>
    <w:rsid w:val="009C454A"/>
    <w:rsid w:val="009C47AE"/>
    <w:rsid w:val="009C498A"/>
    <w:rsid w:val="009C4C62"/>
    <w:rsid w:val="009C5136"/>
    <w:rsid w:val="009C5286"/>
    <w:rsid w:val="009C5923"/>
    <w:rsid w:val="009C5978"/>
    <w:rsid w:val="009C5989"/>
    <w:rsid w:val="009C5A60"/>
    <w:rsid w:val="009C5E41"/>
    <w:rsid w:val="009C6297"/>
    <w:rsid w:val="009C6744"/>
    <w:rsid w:val="009C6CD5"/>
    <w:rsid w:val="009C6E4B"/>
    <w:rsid w:val="009C72F8"/>
    <w:rsid w:val="009C73A6"/>
    <w:rsid w:val="009C74B2"/>
    <w:rsid w:val="009C7B70"/>
    <w:rsid w:val="009C7ECB"/>
    <w:rsid w:val="009D0C1F"/>
    <w:rsid w:val="009D0D50"/>
    <w:rsid w:val="009D10E1"/>
    <w:rsid w:val="009D28FD"/>
    <w:rsid w:val="009D3873"/>
    <w:rsid w:val="009D3A94"/>
    <w:rsid w:val="009D450D"/>
    <w:rsid w:val="009D500C"/>
    <w:rsid w:val="009D5FD4"/>
    <w:rsid w:val="009D676A"/>
    <w:rsid w:val="009D67EC"/>
    <w:rsid w:val="009D70CA"/>
    <w:rsid w:val="009D7348"/>
    <w:rsid w:val="009D7398"/>
    <w:rsid w:val="009D7904"/>
    <w:rsid w:val="009E01FC"/>
    <w:rsid w:val="009E08E9"/>
    <w:rsid w:val="009E0BA9"/>
    <w:rsid w:val="009E170D"/>
    <w:rsid w:val="009E1EF4"/>
    <w:rsid w:val="009E1F2C"/>
    <w:rsid w:val="009E1F6B"/>
    <w:rsid w:val="009E25C3"/>
    <w:rsid w:val="009E289B"/>
    <w:rsid w:val="009E2B78"/>
    <w:rsid w:val="009E2C0A"/>
    <w:rsid w:val="009E31C5"/>
    <w:rsid w:val="009E3841"/>
    <w:rsid w:val="009E3BFC"/>
    <w:rsid w:val="009E3C53"/>
    <w:rsid w:val="009E4784"/>
    <w:rsid w:val="009E4BEE"/>
    <w:rsid w:val="009E4CE6"/>
    <w:rsid w:val="009E5142"/>
    <w:rsid w:val="009E5885"/>
    <w:rsid w:val="009E59CE"/>
    <w:rsid w:val="009E5B8A"/>
    <w:rsid w:val="009E5F56"/>
    <w:rsid w:val="009E6223"/>
    <w:rsid w:val="009E64E5"/>
    <w:rsid w:val="009E6C11"/>
    <w:rsid w:val="009E6EFB"/>
    <w:rsid w:val="009E6F7E"/>
    <w:rsid w:val="009E7658"/>
    <w:rsid w:val="009F017C"/>
    <w:rsid w:val="009F0529"/>
    <w:rsid w:val="009F0594"/>
    <w:rsid w:val="009F0828"/>
    <w:rsid w:val="009F08FB"/>
    <w:rsid w:val="009F1177"/>
    <w:rsid w:val="009F1872"/>
    <w:rsid w:val="009F1B7B"/>
    <w:rsid w:val="009F1DC3"/>
    <w:rsid w:val="009F3122"/>
    <w:rsid w:val="009F4755"/>
    <w:rsid w:val="009F4873"/>
    <w:rsid w:val="009F4AF1"/>
    <w:rsid w:val="009F4DDB"/>
    <w:rsid w:val="009F5091"/>
    <w:rsid w:val="009F526D"/>
    <w:rsid w:val="009F5715"/>
    <w:rsid w:val="009F5846"/>
    <w:rsid w:val="009F5AC3"/>
    <w:rsid w:val="009F5EFD"/>
    <w:rsid w:val="009F66EA"/>
    <w:rsid w:val="009F71FA"/>
    <w:rsid w:val="009F7781"/>
    <w:rsid w:val="009F7917"/>
    <w:rsid w:val="00A002AE"/>
    <w:rsid w:val="00A002E2"/>
    <w:rsid w:val="00A010E9"/>
    <w:rsid w:val="00A01434"/>
    <w:rsid w:val="00A01DD0"/>
    <w:rsid w:val="00A0211A"/>
    <w:rsid w:val="00A023E0"/>
    <w:rsid w:val="00A023EC"/>
    <w:rsid w:val="00A030B9"/>
    <w:rsid w:val="00A039D1"/>
    <w:rsid w:val="00A03D40"/>
    <w:rsid w:val="00A04F19"/>
    <w:rsid w:val="00A04F8B"/>
    <w:rsid w:val="00A050AE"/>
    <w:rsid w:val="00A05330"/>
    <w:rsid w:val="00A05559"/>
    <w:rsid w:val="00A05706"/>
    <w:rsid w:val="00A05A4A"/>
    <w:rsid w:val="00A06103"/>
    <w:rsid w:val="00A06B16"/>
    <w:rsid w:val="00A06C89"/>
    <w:rsid w:val="00A06E55"/>
    <w:rsid w:val="00A1055C"/>
    <w:rsid w:val="00A10990"/>
    <w:rsid w:val="00A10DDE"/>
    <w:rsid w:val="00A10F16"/>
    <w:rsid w:val="00A121C1"/>
    <w:rsid w:val="00A1227E"/>
    <w:rsid w:val="00A1289F"/>
    <w:rsid w:val="00A12C25"/>
    <w:rsid w:val="00A12E0D"/>
    <w:rsid w:val="00A12F00"/>
    <w:rsid w:val="00A13484"/>
    <w:rsid w:val="00A13924"/>
    <w:rsid w:val="00A14341"/>
    <w:rsid w:val="00A1435E"/>
    <w:rsid w:val="00A15FDD"/>
    <w:rsid w:val="00A1685E"/>
    <w:rsid w:val="00A169EB"/>
    <w:rsid w:val="00A16A23"/>
    <w:rsid w:val="00A17724"/>
    <w:rsid w:val="00A17BD5"/>
    <w:rsid w:val="00A20ABC"/>
    <w:rsid w:val="00A21198"/>
    <w:rsid w:val="00A21DAE"/>
    <w:rsid w:val="00A21FC6"/>
    <w:rsid w:val="00A22403"/>
    <w:rsid w:val="00A2287A"/>
    <w:rsid w:val="00A22D3E"/>
    <w:rsid w:val="00A243B4"/>
    <w:rsid w:val="00A24D5C"/>
    <w:rsid w:val="00A25F50"/>
    <w:rsid w:val="00A2614F"/>
    <w:rsid w:val="00A262D2"/>
    <w:rsid w:val="00A264DC"/>
    <w:rsid w:val="00A268BC"/>
    <w:rsid w:val="00A26C04"/>
    <w:rsid w:val="00A26EE1"/>
    <w:rsid w:val="00A2775F"/>
    <w:rsid w:val="00A27C35"/>
    <w:rsid w:val="00A30214"/>
    <w:rsid w:val="00A30A52"/>
    <w:rsid w:val="00A31394"/>
    <w:rsid w:val="00A320E5"/>
    <w:rsid w:val="00A32B3D"/>
    <w:rsid w:val="00A33007"/>
    <w:rsid w:val="00A33A96"/>
    <w:rsid w:val="00A34382"/>
    <w:rsid w:val="00A34496"/>
    <w:rsid w:val="00A34CA7"/>
    <w:rsid w:val="00A35060"/>
    <w:rsid w:val="00A3597D"/>
    <w:rsid w:val="00A36259"/>
    <w:rsid w:val="00A366EE"/>
    <w:rsid w:val="00A368A8"/>
    <w:rsid w:val="00A36D24"/>
    <w:rsid w:val="00A37302"/>
    <w:rsid w:val="00A37D25"/>
    <w:rsid w:val="00A37FA6"/>
    <w:rsid w:val="00A402A6"/>
    <w:rsid w:val="00A40D05"/>
    <w:rsid w:val="00A40D79"/>
    <w:rsid w:val="00A41305"/>
    <w:rsid w:val="00A41C2B"/>
    <w:rsid w:val="00A42040"/>
    <w:rsid w:val="00A42295"/>
    <w:rsid w:val="00A42B8B"/>
    <w:rsid w:val="00A42CBF"/>
    <w:rsid w:val="00A43609"/>
    <w:rsid w:val="00A43D7A"/>
    <w:rsid w:val="00A4464B"/>
    <w:rsid w:val="00A448F8"/>
    <w:rsid w:val="00A44A9B"/>
    <w:rsid w:val="00A45020"/>
    <w:rsid w:val="00A456E8"/>
    <w:rsid w:val="00A45990"/>
    <w:rsid w:val="00A45C78"/>
    <w:rsid w:val="00A46083"/>
    <w:rsid w:val="00A4653F"/>
    <w:rsid w:val="00A46807"/>
    <w:rsid w:val="00A47764"/>
    <w:rsid w:val="00A50304"/>
    <w:rsid w:val="00A50405"/>
    <w:rsid w:val="00A506DF"/>
    <w:rsid w:val="00A5070A"/>
    <w:rsid w:val="00A5078A"/>
    <w:rsid w:val="00A50AB8"/>
    <w:rsid w:val="00A50C05"/>
    <w:rsid w:val="00A5138E"/>
    <w:rsid w:val="00A513A7"/>
    <w:rsid w:val="00A51A04"/>
    <w:rsid w:val="00A52864"/>
    <w:rsid w:val="00A52B63"/>
    <w:rsid w:val="00A52E1F"/>
    <w:rsid w:val="00A52E2E"/>
    <w:rsid w:val="00A52E80"/>
    <w:rsid w:val="00A53431"/>
    <w:rsid w:val="00A536ED"/>
    <w:rsid w:val="00A53CAC"/>
    <w:rsid w:val="00A547DF"/>
    <w:rsid w:val="00A54BDC"/>
    <w:rsid w:val="00A54E8C"/>
    <w:rsid w:val="00A54F0E"/>
    <w:rsid w:val="00A550FA"/>
    <w:rsid w:val="00A56186"/>
    <w:rsid w:val="00A5636F"/>
    <w:rsid w:val="00A563DE"/>
    <w:rsid w:val="00A5658B"/>
    <w:rsid w:val="00A5669C"/>
    <w:rsid w:val="00A60214"/>
    <w:rsid w:val="00A60985"/>
    <w:rsid w:val="00A60C5C"/>
    <w:rsid w:val="00A614D3"/>
    <w:rsid w:val="00A61537"/>
    <w:rsid w:val="00A61618"/>
    <w:rsid w:val="00A624C2"/>
    <w:rsid w:val="00A62FA9"/>
    <w:rsid w:val="00A63016"/>
    <w:rsid w:val="00A6372E"/>
    <w:rsid w:val="00A637A1"/>
    <w:rsid w:val="00A63C3D"/>
    <w:rsid w:val="00A64251"/>
    <w:rsid w:val="00A64638"/>
    <w:rsid w:val="00A64C33"/>
    <w:rsid w:val="00A64ED4"/>
    <w:rsid w:val="00A64FD5"/>
    <w:rsid w:val="00A65191"/>
    <w:rsid w:val="00A6545C"/>
    <w:rsid w:val="00A657CB"/>
    <w:rsid w:val="00A65A18"/>
    <w:rsid w:val="00A65B3E"/>
    <w:rsid w:val="00A65BCD"/>
    <w:rsid w:val="00A65F61"/>
    <w:rsid w:val="00A66C79"/>
    <w:rsid w:val="00A66CAE"/>
    <w:rsid w:val="00A66FFB"/>
    <w:rsid w:val="00A67255"/>
    <w:rsid w:val="00A6744A"/>
    <w:rsid w:val="00A674DC"/>
    <w:rsid w:val="00A676DD"/>
    <w:rsid w:val="00A67ABC"/>
    <w:rsid w:val="00A705FB"/>
    <w:rsid w:val="00A70833"/>
    <w:rsid w:val="00A70BBC"/>
    <w:rsid w:val="00A710F1"/>
    <w:rsid w:val="00A71196"/>
    <w:rsid w:val="00A711C6"/>
    <w:rsid w:val="00A713D5"/>
    <w:rsid w:val="00A718B4"/>
    <w:rsid w:val="00A71C08"/>
    <w:rsid w:val="00A71C62"/>
    <w:rsid w:val="00A720EE"/>
    <w:rsid w:val="00A728BF"/>
    <w:rsid w:val="00A72A2F"/>
    <w:rsid w:val="00A72DBC"/>
    <w:rsid w:val="00A73006"/>
    <w:rsid w:val="00A7323F"/>
    <w:rsid w:val="00A734DE"/>
    <w:rsid w:val="00A7364A"/>
    <w:rsid w:val="00A73A44"/>
    <w:rsid w:val="00A743EF"/>
    <w:rsid w:val="00A7498A"/>
    <w:rsid w:val="00A74B08"/>
    <w:rsid w:val="00A74BC3"/>
    <w:rsid w:val="00A751D1"/>
    <w:rsid w:val="00A761AF"/>
    <w:rsid w:val="00A77214"/>
    <w:rsid w:val="00A77593"/>
    <w:rsid w:val="00A77ABC"/>
    <w:rsid w:val="00A80140"/>
    <w:rsid w:val="00A801A2"/>
    <w:rsid w:val="00A806C6"/>
    <w:rsid w:val="00A80A16"/>
    <w:rsid w:val="00A811A9"/>
    <w:rsid w:val="00A81632"/>
    <w:rsid w:val="00A818F4"/>
    <w:rsid w:val="00A827A4"/>
    <w:rsid w:val="00A83084"/>
    <w:rsid w:val="00A83BB5"/>
    <w:rsid w:val="00A84113"/>
    <w:rsid w:val="00A846D3"/>
    <w:rsid w:val="00A84CCC"/>
    <w:rsid w:val="00A85D5D"/>
    <w:rsid w:val="00A864DB"/>
    <w:rsid w:val="00A86796"/>
    <w:rsid w:val="00A868AB"/>
    <w:rsid w:val="00A8691A"/>
    <w:rsid w:val="00A86DA8"/>
    <w:rsid w:val="00A871DC"/>
    <w:rsid w:val="00A877F2"/>
    <w:rsid w:val="00A9016C"/>
    <w:rsid w:val="00A90B39"/>
    <w:rsid w:val="00A90DF7"/>
    <w:rsid w:val="00A910CB"/>
    <w:rsid w:val="00A91DEA"/>
    <w:rsid w:val="00A91E98"/>
    <w:rsid w:val="00A9248C"/>
    <w:rsid w:val="00A92884"/>
    <w:rsid w:val="00A928EF"/>
    <w:rsid w:val="00A92A85"/>
    <w:rsid w:val="00A93379"/>
    <w:rsid w:val="00A9349A"/>
    <w:rsid w:val="00A9416B"/>
    <w:rsid w:val="00A9430E"/>
    <w:rsid w:val="00A95AAF"/>
    <w:rsid w:val="00A95C22"/>
    <w:rsid w:val="00A9704C"/>
    <w:rsid w:val="00AA1066"/>
    <w:rsid w:val="00AA10AF"/>
    <w:rsid w:val="00AA1A0E"/>
    <w:rsid w:val="00AA1D0C"/>
    <w:rsid w:val="00AA1D16"/>
    <w:rsid w:val="00AA1D19"/>
    <w:rsid w:val="00AA1E9A"/>
    <w:rsid w:val="00AA21D1"/>
    <w:rsid w:val="00AA256C"/>
    <w:rsid w:val="00AA269A"/>
    <w:rsid w:val="00AA2A55"/>
    <w:rsid w:val="00AA2CF8"/>
    <w:rsid w:val="00AA3557"/>
    <w:rsid w:val="00AA3B56"/>
    <w:rsid w:val="00AA4041"/>
    <w:rsid w:val="00AA4051"/>
    <w:rsid w:val="00AA4439"/>
    <w:rsid w:val="00AA4503"/>
    <w:rsid w:val="00AA4623"/>
    <w:rsid w:val="00AA4C05"/>
    <w:rsid w:val="00AA5107"/>
    <w:rsid w:val="00AA5D65"/>
    <w:rsid w:val="00AA6293"/>
    <w:rsid w:val="00AA689A"/>
    <w:rsid w:val="00AA6A1B"/>
    <w:rsid w:val="00AA6A89"/>
    <w:rsid w:val="00AA7077"/>
    <w:rsid w:val="00AA7173"/>
    <w:rsid w:val="00AA7605"/>
    <w:rsid w:val="00AA7686"/>
    <w:rsid w:val="00AA7698"/>
    <w:rsid w:val="00AA7EB7"/>
    <w:rsid w:val="00AB014D"/>
    <w:rsid w:val="00AB05BE"/>
    <w:rsid w:val="00AB0BDC"/>
    <w:rsid w:val="00AB11BB"/>
    <w:rsid w:val="00AB1B39"/>
    <w:rsid w:val="00AB232E"/>
    <w:rsid w:val="00AB2761"/>
    <w:rsid w:val="00AB3372"/>
    <w:rsid w:val="00AB43AE"/>
    <w:rsid w:val="00AB485D"/>
    <w:rsid w:val="00AB494A"/>
    <w:rsid w:val="00AB4BE0"/>
    <w:rsid w:val="00AB5739"/>
    <w:rsid w:val="00AB5A9E"/>
    <w:rsid w:val="00AB5AE5"/>
    <w:rsid w:val="00AB626B"/>
    <w:rsid w:val="00AB67B6"/>
    <w:rsid w:val="00AB6839"/>
    <w:rsid w:val="00AB6916"/>
    <w:rsid w:val="00AB76E0"/>
    <w:rsid w:val="00AB77B7"/>
    <w:rsid w:val="00AC003A"/>
    <w:rsid w:val="00AC0289"/>
    <w:rsid w:val="00AC061F"/>
    <w:rsid w:val="00AC06A2"/>
    <w:rsid w:val="00AC1434"/>
    <w:rsid w:val="00AC2F3F"/>
    <w:rsid w:val="00AC3313"/>
    <w:rsid w:val="00AC358C"/>
    <w:rsid w:val="00AC39EF"/>
    <w:rsid w:val="00AC435F"/>
    <w:rsid w:val="00AC43BB"/>
    <w:rsid w:val="00AC4929"/>
    <w:rsid w:val="00AC51E8"/>
    <w:rsid w:val="00AC528F"/>
    <w:rsid w:val="00AC5B51"/>
    <w:rsid w:val="00AC7065"/>
    <w:rsid w:val="00AC7246"/>
    <w:rsid w:val="00AC7DE4"/>
    <w:rsid w:val="00AD01DC"/>
    <w:rsid w:val="00AD027D"/>
    <w:rsid w:val="00AD0403"/>
    <w:rsid w:val="00AD09AB"/>
    <w:rsid w:val="00AD0B65"/>
    <w:rsid w:val="00AD0D74"/>
    <w:rsid w:val="00AD1358"/>
    <w:rsid w:val="00AD1791"/>
    <w:rsid w:val="00AD18F7"/>
    <w:rsid w:val="00AD1FE0"/>
    <w:rsid w:val="00AD21FF"/>
    <w:rsid w:val="00AD220E"/>
    <w:rsid w:val="00AD2A43"/>
    <w:rsid w:val="00AD3733"/>
    <w:rsid w:val="00AD3856"/>
    <w:rsid w:val="00AD3BBD"/>
    <w:rsid w:val="00AD42B6"/>
    <w:rsid w:val="00AD479D"/>
    <w:rsid w:val="00AD481D"/>
    <w:rsid w:val="00AD5362"/>
    <w:rsid w:val="00AD551B"/>
    <w:rsid w:val="00AD58A7"/>
    <w:rsid w:val="00AD5CDD"/>
    <w:rsid w:val="00AD5FCE"/>
    <w:rsid w:val="00AD606A"/>
    <w:rsid w:val="00AD6527"/>
    <w:rsid w:val="00AD68F4"/>
    <w:rsid w:val="00AD6AC4"/>
    <w:rsid w:val="00AD6D0D"/>
    <w:rsid w:val="00AD6FAC"/>
    <w:rsid w:val="00AD746E"/>
    <w:rsid w:val="00AD7ABA"/>
    <w:rsid w:val="00AD7AF0"/>
    <w:rsid w:val="00AD7E1B"/>
    <w:rsid w:val="00AD7EB4"/>
    <w:rsid w:val="00AE00B6"/>
    <w:rsid w:val="00AE0454"/>
    <w:rsid w:val="00AE0554"/>
    <w:rsid w:val="00AE06CC"/>
    <w:rsid w:val="00AE0EF9"/>
    <w:rsid w:val="00AE125C"/>
    <w:rsid w:val="00AE17DC"/>
    <w:rsid w:val="00AE182D"/>
    <w:rsid w:val="00AE18D6"/>
    <w:rsid w:val="00AE1F36"/>
    <w:rsid w:val="00AE1F40"/>
    <w:rsid w:val="00AE20CC"/>
    <w:rsid w:val="00AE2BB9"/>
    <w:rsid w:val="00AE3897"/>
    <w:rsid w:val="00AE3CCC"/>
    <w:rsid w:val="00AE3F3F"/>
    <w:rsid w:val="00AE4F0D"/>
    <w:rsid w:val="00AE50A0"/>
    <w:rsid w:val="00AE67A3"/>
    <w:rsid w:val="00AE6F83"/>
    <w:rsid w:val="00AE7563"/>
    <w:rsid w:val="00AE75D0"/>
    <w:rsid w:val="00AE7731"/>
    <w:rsid w:val="00AE7DE6"/>
    <w:rsid w:val="00AF00FA"/>
    <w:rsid w:val="00AF055D"/>
    <w:rsid w:val="00AF0FDC"/>
    <w:rsid w:val="00AF102C"/>
    <w:rsid w:val="00AF132F"/>
    <w:rsid w:val="00AF1C35"/>
    <w:rsid w:val="00AF204C"/>
    <w:rsid w:val="00AF3639"/>
    <w:rsid w:val="00AF3B27"/>
    <w:rsid w:val="00AF4190"/>
    <w:rsid w:val="00AF449C"/>
    <w:rsid w:val="00AF4ADA"/>
    <w:rsid w:val="00AF4F5E"/>
    <w:rsid w:val="00AF5024"/>
    <w:rsid w:val="00AF5131"/>
    <w:rsid w:val="00AF525C"/>
    <w:rsid w:val="00AF5629"/>
    <w:rsid w:val="00AF6C60"/>
    <w:rsid w:val="00AF6ECE"/>
    <w:rsid w:val="00AF7202"/>
    <w:rsid w:val="00AF7BDC"/>
    <w:rsid w:val="00AF7D19"/>
    <w:rsid w:val="00AF7D42"/>
    <w:rsid w:val="00AF7D4C"/>
    <w:rsid w:val="00B0035D"/>
    <w:rsid w:val="00B009C8"/>
    <w:rsid w:val="00B009E6"/>
    <w:rsid w:val="00B01482"/>
    <w:rsid w:val="00B01616"/>
    <w:rsid w:val="00B0207A"/>
    <w:rsid w:val="00B02DB7"/>
    <w:rsid w:val="00B03274"/>
    <w:rsid w:val="00B041BA"/>
    <w:rsid w:val="00B0430F"/>
    <w:rsid w:val="00B04E11"/>
    <w:rsid w:val="00B04E2A"/>
    <w:rsid w:val="00B04FE6"/>
    <w:rsid w:val="00B055B7"/>
    <w:rsid w:val="00B05AD0"/>
    <w:rsid w:val="00B06363"/>
    <w:rsid w:val="00B06549"/>
    <w:rsid w:val="00B06C4F"/>
    <w:rsid w:val="00B100E7"/>
    <w:rsid w:val="00B10265"/>
    <w:rsid w:val="00B10783"/>
    <w:rsid w:val="00B10BFF"/>
    <w:rsid w:val="00B1157E"/>
    <w:rsid w:val="00B1164D"/>
    <w:rsid w:val="00B11CDC"/>
    <w:rsid w:val="00B1225E"/>
    <w:rsid w:val="00B13BCF"/>
    <w:rsid w:val="00B14727"/>
    <w:rsid w:val="00B14BA8"/>
    <w:rsid w:val="00B14DCA"/>
    <w:rsid w:val="00B1597A"/>
    <w:rsid w:val="00B162DC"/>
    <w:rsid w:val="00B16A5C"/>
    <w:rsid w:val="00B16FB2"/>
    <w:rsid w:val="00B171BE"/>
    <w:rsid w:val="00B17A4F"/>
    <w:rsid w:val="00B17DCC"/>
    <w:rsid w:val="00B17F7B"/>
    <w:rsid w:val="00B20A3F"/>
    <w:rsid w:val="00B20A99"/>
    <w:rsid w:val="00B20B8A"/>
    <w:rsid w:val="00B21267"/>
    <w:rsid w:val="00B21441"/>
    <w:rsid w:val="00B21982"/>
    <w:rsid w:val="00B21A7B"/>
    <w:rsid w:val="00B22159"/>
    <w:rsid w:val="00B22167"/>
    <w:rsid w:val="00B22289"/>
    <w:rsid w:val="00B22494"/>
    <w:rsid w:val="00B237DB"/>
    <w:rsid w:val="00B2403F"/>
    <w:rsid w:val="00B244BE"/>
    <w:rsid w:val="00B24B7E"/>
    <w:rsid w:val="00B25B3B"/>
    <w:rsid w:val="00B26230"/>
    <w:rsid w:val="00B2698E"/>
    <w:rsid w:val="00B274B9"/>
    <w:rsid w:val="00B27A59"/>
    <w:rsid w:val="00B301EF"/>
    <w:rsid w:val="00B302F7"/>
    <w:rsid w:val="00B30823"/>
    <w:rsid w:val="00B30AEC"/>
    <w:rsid w:val="00B30FE6"/>
    <w:rsid w:val="00B3170D"/>
    <w:rsid w:val="00B32487"/>
    <w:rsid w:val="00B33AF6"/>
    <w:rsid w:val="00B33D9C"/>
    <w:rsid w:val="00B341E2"/>
    <w:rsid w:val="00B341FC"/>
    <w:rsid w:val="00B34454"/>
    <w:rsid w:val="00B34A48"/>
    <w:rsid w:val="00B34DBA"/>
    <w:rsid w:val="00B34E4F"/>
    <w:rsid w:val="00B34F0C"/>
    <w:rsid w:val="00B352DD"/>
    <w:rsid w:val="00B35810"/>
    <w:rsid w:val="00B35C02"/>
    <w:rsid w:val="00B35D13"/>
    <w:rsid w:val="00B361D5"/>
    <w:rsid w:val="00B36318"/>
    <w:rsid w:val="00B36A21"/>
    <w:rsid w:val="00B37002"/>
    <w:rsid w:val="00B37097"/>
    <w:rsid w:val="00B3759B"/>
    <w:rsid w:val="00B37C8E"/>
    <w:rsid w:val="00B4001C"/>
    <w:rsid w:val="00B400AF"/>
    <w:rsid w:val="00B40291"/>
    <w:rsid w:val="00B40784"/>
    <w:rsid w:val="00B4111A"/>
    <w:rsid w:val="00B412B6"/>
    <w:rsid w:val="00B4288C"/>
    <w:rsid w:val="00B4288F"/>
    <w:rsid w:val="00B42AB9"/>
    <w:rsid w:val="00B42EF0"/>
    <w:rsid w:val="00B4357F"/>
    <w:rsid w:val="00B437A0"/>
    <w:rsid w:val="00B444CA"/>
    <w:rsid w:val="00B45213"/>
    <w:rsid w:val="00B45954"/>
    <w:rsid w:val="00B45967"/>
    <w:rsid w:val="00B45F0B"/>
    <w:rsid w:val="00B46A9C"/>
    <w:rsid w:val="00B46FD7"/>
    <w:rsid w:val="00B47272"/>
    <w:rsid w:val="00B472CB"/>
    <w:rsid w:val="00B47C07"/>
    <w:rsid w:val="00B50C62"/>
    <w:rsid w:val="00B513EB"/>
    <w:rsid w:val="00B5145C"/>
    <w:rsid w:val="00B51497"/>
    <w:rsid w:val="00B5189C"/>
    <w:rsid w:val="00B51EB7"/>
    <w:rsid w:val="00B51ECA"/>
    <w:rsid w:val="00B53C20"/>
    <w:rsid w:val="00B540E4"/>
    <w:rsid w:val="00B54236"/>
    <w:rsid w:val="00B54AC3"/>
    <w:rsid w:val="00B564C3"/>
    <w:rsid w:val="00B56B15"/>
    <w:rsid w:val="00B56B51"/>
    <w:rsid w:val="00B60026"/>
    <w:rsid w:val="00B6029B"/>
    <w:rsid w:val="00B60BA0"/>
    <w:rsid w:val="00B61502"/>
    <w:rsid w:val="00B61573"/>
    <w:rsid w:val="00B6166A"/>
    <w:rsid w:val="00B621D0"/>
    <w:rsid w:val="00B62AD8"/>
    <w:rsid w:val="00B6304A"/>
    <w:rsid w:val="00B63116"/>
    <w:rsid w:val="00B6359A"/>
    <w:rsid w:val="00B64322"/>
    <w:rsid w:val="00B6497A"/>
    <w:rsid w:val="00B64CFF"/>
    <w:rsid w:val="00B65F9A"/>
    <w:rsid w:val="00B66626"/>
    <w:rsid w:val="00B66F59"/>
    <w:rsid w:val="00B67400"/>
    <w:rsid w:val="00B6756D"/>
    <w:rsid w:val="00B67892"/>
    <w:rsid w:val="00B70016"/>
    <w:rsid w:val="00B700E4"/>
    <w:rsid w:val="00B70398"/>
    <w:rsid w:val="00B707DF"/>
    <w:rsid w:val="00B71674"/>
    <w:rsid w:val="00B7180E"/>
    <w:rsid w:val="00B71DA0"/>
    <w:rsid w:val="00B72E3A"/>
    <w:rsid w:val="00B72EA8"/>
    <w:rsid w:val="00B7367E"/>
    <w:rsid w:val="00B73758"/>
    <w:rsid w:val="00B7428F"/>
    <w:rsid w:val="00B74516"/>
    <w:rsid w:val="00B7477D"/>
    <w:rsid w:val="00B74A5E"/>
    <w:rsid w:val="00B74F82"/>
    <w:rsid w:val="00B75AF0"/>
    <w:rsid w:val="00B75C24"/>
    <w:rsid w:val="00B7605A"/>
    <w:rsid w:val="00B76E99"/>
    <w:rsid w:val="00B77672"/>
    <w:rsid w:val="00B77D0C"/>
    <w:rsid w:val="00B80329"/>
    <w:rsid w:val="00B80529"/>
    <w:rsid w:val="00B81A3A"/>
    <w:rsid w:val="00B81B40"/>
    <w:rsid w:val="00B81D4A"/>
    <w:rsid w:val="00B8244A"/>
    <w:rsid w:val="00B82AB3"/>
    <w:rsid w:val="00B82B63"/>
    <w:rsid w:val="00B82DE5"/>
    <w:rsid w:val="00B835F6"/>
    <w:rsid w:val="00B8376F"/>
    <w:rsid w:val="00B83E5C"/>
    <w:rsid w:val="00B84465"/>
    <w:rsid w:val="00B849C2"/>
    <w:rsid w:val="00B85B15"/>
    <w:rsid w:val="00B860BA"/>
    <w:rsid w:val="00B86384"/>
    <w:rsid w:val="00B86536"/>
    <w:rsid w:val="00B86D17"/>
    <w:rsid w:val="00B86DF6"/>
    <w:rsid w:val="00B87152"/>
    <w:rsid w:val="00B87255"/>
    <w:rsid w:val="00B87AE0"/>
    <w:rsid w:val="00B903FE"/>
    <w:rsid w:val="00B9112D"/>
    <w:rsid w:val="00B91824"/>
    <w:rsid w:val="00B91DF0"/>
    <w:rsid w:val="00B92104"/>
    <w:rsid w:val="00B9249E"/>
    <w:rsid w:val="00B924BE"/>
    <w:rsid w:val="00B92867"/>
    <w:rsid w:val="00B9347E"/>
    <w:rsid w:val="00B936D7"/>
    <w:rsid w:val="00B9383D"/>
    <w:rsid w:val="00B93D6C"/>
    <w:rsid w:val="00B94077"/>
    <w:rsid w:val="00B943FE"/>
    <w:rsid w:val="00B957EF"/>
    <w:rsid w:val="00B96516"/>
    <w:rsid w:val="00B96C14"/>
    <w:rsid w:val="00B96E61"/>
    <w:rsid w:val="00B97346"/>
    <w:rsid w:val="00BA0102"/>
    <w:rsid w:val="00BA0C35"/>
    <w:rsid w:val="00BA1685"/>
    <w:rsid w:val="00BA17BD"/>
    <w:rsid w:val="00BA1D35"/>
    <w:rsid w:val="00BA1E3F"/>
    <w:rsid w:val="00BA2494"/>
    <w:rsid w:val="00BA31AA"/>
    <w:rsid w:val="00BA3520"/>
    <w:rsid w:val="00BA39EE"/>
    <w:rsid w:val="00BA3D38"/>
    <w:rsid w:val="00BA43F7"/>
    <w:rsid w:val="00BA5493"/>
    <w:rsid w:val="00BA6017"/>
    <w:rsid w:val="00BA71B5"/>
    <w:rsid w:val="00BA7516"/>
    <w:rsid w:val="00BA7661"/>
    <w:rsid w:val="00BA77EF"/>
    <w:rsid w:val="00BA793D"/>
    <w:rsid w:val="00BA7BBD"/>
    <w:rsid w:val="00BA7F03"/>
    <w:rsid w:val="00BB01D4"/>
    <w:rsid w:val="00BB0B45"/>
    <w:rsid w:val="00BB0E11"/>
    <w:rsid w:val="00BB1143"/>
    <w:rsid w:val="00BB15AD"/>
    <w:rsid w:val="00BB19DF"/>
    <w:rsid w:val="00BB1D9F"/>
    <w:rsid w:val="00BB28C6"/>
    <w:rsid w:val="00BB2C88"/>
    <w:rsid w:val="00BB2EC7"/>
    <w:rsid w:val="00BB2FD8"/>
    <w:rsid w:val="00BB337A"/>
    <w:rsid w:val="00BB3F5E"/>
    <w:rsid w:val="00BB43B4"/>
    <w:rsid w:val="00BB44A8"/>
    <w:rsid w:val="00BB4EE5"/>
    <w:rsid w:val="00BB6236"/>
    <w:rsid w:val="00BB6377"/>
    <w:rsid w:val="00BB664F"/>
    <w:rsid w:val="00BB6989"/>
    <w:rsid w:val="00BB6B6F"/>
    <w:rsid w:val="00BB7FED"/>
    <w:rsid w:val="00BC0C0F"/>
    <w:rsid w:val="00BC0CD8"/>
    <w:rsid w:val="00BC16B1"/>
    <w:rsid w:val="00BC1700"/>
    <w:rsid w:val="00BC2311"/>
    <w:rsid w:val="00BC2971"/>
    <w:rsid w:val="00BC2E03"/>
    <w:rsid w:val="00BC32D8"/>
    <w:rsid w:val="00BC39DD"/>
    <w:rsid w:val="00BC3BD1"/>
    <w:rsid w:val="00BC3C97"/>
    <w:rsid w:val="00BC4159"/>
    <w:rsid w:val="00BC437A"/>
    <w:rsid w:val="00BC46BE"/>
    <w:rsid w:val="00BC4A31"/>
    <w:rsid w:val="00BC52A6"/>
    <w:rsid w:val="00BC6175"/>
    <w:rsid w:val="00BC6285"/>
    <w:rsid w:val="00BC6763"/>
    <w:rsid w:val="00BC78E2"/>
    <w:rsid w:val="00BC78FA"/>
    <w:rsid w:val="00BC7D84"/>
    <w:rsid w:val="00BC7FF9"/>
    <w:rsid w:val="00BD0537"/>
    <w:rsid w:val="00BD0614"/>
    <w:rsid w:val="00BD09B9"/>
    <w:rsid w:val="00BD09BE"/>
    <w:rsid w:val="00BD1600"/>
    <w:rsid w:val="00BD1793"/>
    <w:rsid w:val="00BD187C"/>
    <w:rsid w:val="00BD1C4F"/>
    <w:rsid w:val="00BD1F4E"/>
    <w:rsid w:val="00BD2038"/>
    <w:rsid w:val="00BD2662"/>
    <w:rsid w:val="00BD271F"/>
    <w:rsid w:val="00BD31D4"/>
    <w:rsid w:val="00BD3494"/>
    <w:rsid w:val="00BD4068"/>
    <w:rsid w:val="00BD4B3D"/>
    <w:rsid w:val="00BD4D35"/>
    <w:rsid w:val="00BD59A0"/>
    <w:rsid w:val="00BD61E0"/>
    <w:rsid w:val="00BD63E5"/>
    <w:rsid w:val="00BD725C"/>
    <w:rsid w:val="00BD7627"/>
    <w:rsid w:val="00BD7A1F"/>
    <w:rsid w:val="00BE01EA"/>
    <w:rsid w:val="00BE0396"/>
    <w:rsid w:val="00BE0850"/>
    <w:rsid w:val="00BE188B"/>
    <w:rsid w:val="00BE2465"/>
    <w:rsid w:val="00BE264A"/>
    <w:rsid w:val="00BE26AE"/>
    <w:rsid w:val="00BE27FC"/>
    <w:rsid w:val="00BE28C4"/>
    <w:rsid w:val="00BE297E"/>
    <w:rsid w:val="00BE2996"/>
    <w:rsid w:val="00BE308E"/>
    <w:rsid w:val="00BE35CE"/>
    <w:rsid w:val="00BE3B26"/>
    <w:rsid w:val="00BE3B53"/>
    <w:rsid w:val="00BE459E"/>
    <w:rsid w:val="00BE46B8"/>
    <w:rsid w:val="00BE4A4E"/>
    <w:rsid w:val="00BE50E2"/>
    <w:rsid w:val="00BE71FD"/>
    <w:rsid w:val="00BE7F53"/>
    <w:rsid w:val="00BF0508"/>
    <w:rsid w:val="00BF0F95"/>
    <w:rsid w:val="00BF0FAB"/>
    <w:rsid w:val="00BF1233"/>
    <w:rsid w:val="00BF1607"/>
    <w:rsid w:val="00BF17C2"/>
    <w:rsid w:val="00BF1801"/>
    <w:rsid w:val="00BF18CE"/>
    <w:rsid w:val="00BF1AE6"/>
    <w:rsid w:val="00BF24A7"/>
    <w:rsid w:val="00BF26E2"/>
    <w:rsid w:val="00BF2F1A"/>
    <w:rsid w:val="00BF2F64"/>
    <w:rsid w:val="00BF2FA7"/>
    <w:rsid w:val="00BF318D"/>
    <w:rsid w:val="00BF3385"/>
    <w:rsid w:val="00BF3387"/>
    <w:rsid w:val="00BF352F"/>
    <w:rsid w:val="00BF38D6"/>
    <w:rsid w:val="00BF3BD2"/>
    <w:rsid w:val="00BF3F72"/>
    <w:rsid w:val="00BF3F7D"/>
    <w:rsid w:val="00BF40DC"/>
    <w:rsid w:val="00BF41EA"/>
    <w:rsid w:val="00BF4833"/>
    <w:rsid w:val="00BF522F"/>
    <w:rsid w:val="00BF5886"/>
    <w:rsid w:val="00BF5D89"/>
    <w:rsid w:val="00BF618A"/>
    <w:rsid w:val="00BF6EC3"/>
    <w:rsid w:val="00BF7139"/>
    <w:rsid w:val="00BF7D33"/>
    <w:rsid w:val="00BF7F3B"/>
    <w:rsid w:val="00C006BD"/>
    <w:rsid w:val="00C007DF"/>
    <w:rsid w:val="00C0119B"/>
    <w:rsid w:val="00C01482"/>
    <w:rsid w:val="00C01747"/>
    <w:rsid w:val="00C022EE"/>
    <w:rsid w:val="00C024EC"/>
    <w:rsid w:val="00C03175"/>
    <w:rsid w:val="00C0406B"/>
    <w:rsid w:val="00C04251"/>
    <w:rsid w:val="00C051DF"/>
    <w:rsid w:val="00C05530"/>
    <w:rsid w:val="00C05C53"/>
    <w:rsid w:val="00C05F15"/>
    <w:rsid w:val="00C0618F"/>
    <w:rsid w:val="00C0633F"/>
    <w:rsid w:val="00C0649B"/>
    <w:rsid w:val="00C066F4"/>
    <w:rsid w:val="00C067DB"/>
    <w:rsid w:val="00C0712A"/>
    <w:rsid w:val="00C0736C"/>
    <w:rsid w:val="00C07465"/>
    <w:rsid w:val="00C077F4"/>
    <w:rsid w:val="00C07D93"/>
    <w:rsid w:val="00C07ECA"/>
    <w:rsid w:val="00C106E4"/>
    <w:rsid w:val="00C1087C"/>
    <w:rsid w:val="00C10913"/>
    <w:rsid w:val="00C10BDA"/>
    <w:rsid w:val="00C10C74"/>
    <w:rsid w:val="00C10DC6"/>
    <w:rsid w:val="00C117A9"/>
    <w:rsid w:val="00C122C7"/>
    <w:rsid w:val="00C1231D"/>
    <w:rsid w:val="00C126D8"/>
    <w:rsid w:val="00C12779"/>
    <w:rsid w:val="00C12BAE"/>
    <w:rsid w:val="00C13087"/>
    <w:rsid w:val="00C134F3"/>
    <w:rsid w:val="00C13E0D"/>
    <w:rsid w:val="00C141B8"/>
    <w:rsid w:val="00C142B1"/>
    <w:rsid w:val="00C149C3"/>
    <w:rsid w:val="00C14A7F"/>
    <w:rsid w:val="00C14CAF"/>
    <w:rsid w:val="00C158FB"/>
    <w:rsid w:val="00C15A93"/>
    <w:rsid w:val="00C15BA8"/>
    <w:rsid w:val="00C15BC0"/>
    <w:rsid w:val="00C1610E"/>
    <w:rsid w:val="00C1619F"/>
    <w:rsid w:val="00C16354"/>
    <w:rsid w:val="00C17984"/>
    <w:rsid w:val="00C17B6F"/>
    <w:rsid w:val="00C17C9D"/>
    <w:rsid w:val="00C17EA4"/>
    <w:rsid w:val="00C214A2"/>
    <w:rsid w:val="00C214E1"/>
    <w:rsid w:val="00C218A8"/>
    <w:rsid w:val="00C21C14"/>
    <w:rsid w:val="00C221DA"/>
    <w:rsid w:val="00C226BB"/>
    <w:rsid w:val="00C22A60"/>
    <w:rsid w:val="00C230BC"/>
    <w:rsid w:val="00C2450B"/>
    <w:rsid w:val="00C24634"/>
    <w:rsid w:val="00C24870"/>
    <w:rsid w:val="00C25CD9"/>
    <w:rsid w:val="00C25E54"/>
    <w:rsid w:val="00C26C8E"/>
    <w:rsid w:val="00C27B40"/>
    <w:rsid w:val="00C27FFE"/>
    <w:rsid w:val="00C30518"/>
    <w:rsid w:val="00C305CB"/>
    <w:rsid w:val="00C3072C"/>
    <w:rsid w:val="00C31448"/>
    <w:rsid w:val="00C317EE"/>
    <w:rsid w:val="00C31865"/>
    <w:rsid w:val="00C31B33"/>
    <w:rsid w:val="00C31E25"/>
    <w:rsid w:val="00C32178"/>
    <w:rsid w:val="00C32852"/>
    <w:rsid w:val="00C338D9"/>
    <w:rsid w:val="00C34037"/>
    <w:rsid w:val="00C34E0B"/>
    <w:rsid w:val="00C35666"/>
    <w:rsid w:val="00C3625B"/>
    <w:rsid w:val="00C36BE9"/>
    <w:rsid w:val="00C36E1E"/>
    <w:rsid w:val="00C370CB"/>
    <w:rsid w:val="00C37354"/>
    <w:rsid w:val="00C374DF"/>
    <w:rsid w:val="00C37811"/>
    <w:rsid w:val="00C37ACC"/>
    <w:rsid w:val="00C37B4D"/>
    <w:rsid w:val="00C40193"/>
    <w:rsid w:val="00C40B93"/>
    <w:rsid w:val="00C421C1"/>
    <w:rsid w:val="00C42D76"/>
    <w:rsid w:val="00C434CD"/>
    <w:rsid w:val="00C43512"/>
    <w:rsid w:val="00C439FE"/>
    <w:rsid w:val="00C44874"/>
    <w:rsid w:val="00C44D14"/>
    <w:rsid w:val="00C44D97"/>
    <w:rsid w:val="00C456CE"/>
    <w:rsid w:val="00C45B58"/>
    <w:rsid w:val="00C461C1"/>
    <w:rsid w:val="00C4651F"/>
    <w:rsid w:val="00C46532"/>
    <w:rsid w:val="00C46A27"/>
    <w:rsid w:val="00C46C40"/>
    <w:rsid w:val="00C47742"/>
    <w:rsid w:val="00C479EB"/>
    <w:rsid w:val="00C47B4D"/>
    <w:rsid w:val="00C47CFA"/>
    <w:rsid w:val="00C47D13"/>
    <w:rsid w:val="00C50161"/>
    <w:rsid w:val="00C50850"/>
    <w:rsid w:val="00C51046"/>
    <w:rsid w:val="00C51342"/>
    <w:rsid w:val="00C51995"/>
    <w:rsid w:val="00C51F10"/>
    <w:rsid w:val="00C520C5"/>
    <w:rsid w:val="00C520D2"/>
    <w:rsid w:val="00C520E4"/>
    <w:rsid w:val="00C52542"/>
    <w:rsid w:val="00C53016"/>
    <w:rsid w:val="00C53519"/>
    <w:rsid w:val="00C5374C"/>
    <w:rsid w:val="00C53A61"/>
    <w:rsid w:val="00C53B17"/>
    <w:rsid w:val="00C544F1"/>
    <w:rsid w:val="00C55C30"/>
    <w:rsid w:val="00C55C83"/>
    <w:rsid w:val="00C55DD2"/>
    <w:rsid w:val="00C565C4"/>
    <w:rsid w:val="00C56BAB"/>
    <w:rsid w:val="00C56EB1"/>
    <w:rsid w:val="00C574F9"/>
    <w:rsid w:val="00C5764F"/>
    <w:rsid w:val="00C57682"/>
    <w:rsid w:val="00C57E9B"/>
    <w:rsid w:val="00C60129"/>
    <w:rsid w:val="00C60319"/>
    <w:rsid w:val="00C603F0"/>
    <w:rsid w:val="00C6105E"/>
    <w:rsid w:val="00C611E5"/>
    <w:rsid w:val="00C618C3"/>
    <w:rsid w:val="00C618F3"/>
    <w:rsid w:val="00C6286A"/>
    <w:rsid w:val="00C635DF"/>
    <w:rsid w:val="00C63811"/>
    <w:rsid w:val="00C64779"/>
    <w:rsid w:val="00C64EBC"/>
    <w:rsid w:val="00C6545B"/>
    <w:rsid w:val="00C65CF6"/>
    <w:rsid w:val="00C65F58"/>
    <w:rsid w:val="00C66585"/>
    <w:rsid w:val="00C66D6C"/>
    <w:rsid w:val="00C66F3D"/>
    <w:rsid w:val="00C67301"/>
    <w:rsid w:val="00C6768C"/>
    <w:rsid w:val="00C700C1"/>
    <w:rsid w:val="00C703C9"/>
    <w:rsid w:val="00C704FF"/>
    <w:rsid w:val="00C70640"/>
    <w:rsid w:val="00C70E98"/>
    <w:rsid w:val="00C714AE"/>
    <w:rsid w:val="00C71ABC"/>
    <w:rsid w:val="00C722A1"/>
    <w:rsid w:val="00C72577"/>
    <w:rsid w:val="00C728DA"/>
    <w:rsid w:val="00C72F64"/>
    <w:rsid w:val="00C73380"/>
    <w:rsid w:val="00C73596"/>
    <w:rsid w:val="00C73649"/>
    <w:rsid w:val="00C7374B"/>
    <w:rsid w:val="00C73921"/>
    <w:rsid w:val="00C7477F"/>
    <w:rsid w:val="00C74FF0"/>
    <w:rsid w:val="00C7503F"/>
    <w:rsid w:val="00C754EA"/>
    <w:rsid w:val="00C75D85"/>
    <w:rsid w:val="00C75EDC"/>
    <w:rsid w:val="00C766EF"/>
    <w:rsid w:val="00C7675F"/>
    <w:rsid w:val="00C76C8C"/>
    <w:rsid w:val="00C7743D"/>
    <w:rsid w:val="00C774EE"/>
    <w:rsid w:val="00C77D0D"/>
    <w:rsid w:val="00C77D7C"/>
    <w:rsid w:val="00C77E94"/>
    <w:rsid w:val="00C77F2C"/>
    <w:rsid w:val="00C77F3C"/>
    <w:rsid w:val="00C8047D"/>
    <w:rsid w:val="00C808A2"/>
    <w:rsid w:val="00C80D1C"/>
    <w:rsid w:val="00C80D8A"/>
    <w:rsid w:val="00C812F0"/>
    <w:rsid w:val="00C813C3"/>
    <w:rsid w:val="00C817B4"/>
    <w:rsid w:val="00C82370"/>
    <w:rsid w:val="00C82408"/>
    <w:rsid w:val="00C8277D"/>
    <w:rsid w:val="00C82A29"/>
    <w:rsid w:val="00C831EC"/>
    <w:rsid w:val="00C834EF"/>
    <w:rsid w:val="00C8388B"/>
    <w:rsid w:val="00C838BD"/>
    <w:rsid w:val="00C83922"/>
    <w:rsid w:val="00C83EAF"/>
    <w:rsid w:val="00C8443F"/>
    <w:rsid w:val="00C845A1"/>
    <w:rsid w:val="00C8502D"/>
    <w:rsid w:val="00C850F4"/>
    <w:rsid w:val="00C85497"/>
    <w:rsid w:val="00C86B03"/>
    <w:rsid w:val="00C86F0E"/>
    <w:rsid w:val="00C87458"/>
    <w:rsid w:val="00C87EB8"/>
    <w:rsid w:val="00C9030F"/>
    <w:rsid w:val="00C90724"/>
    <w:rsid w:val="00C9085E"/>
    <w:rsid w:val="00C9091F"/>
    <w:rsid w:val="00C90EEC"/>
    <w:rsid w:val="00C91974"/>
    <w:rsid w:val="00C91ABC"/>
    <w:rsid w:val="00C92108"/>
    <w:rsid w:val="00C93374"/>
    <w:rsid w:val="00C9346B"/>
    <w:rsid w:val="00C93825"/>
    <w:rsid w:val="00C93A4F"/>
    <w:rsid w:val="00C941E2"/>
    <w:rsid w:val="00C9434C"/>
    <w:rsid w:val="00C947E8"/>
    <w:rsid w:val="00C950CF"/>
    <w:rsid w:val="00C95708"/>
    <w:rsid w:val="00C96306"/>
    <w:rsid w:val="00C96B00"/>
    <w:rsid w:val="00C96B63"/>
    <w:rsid w:val="00C97627"/>
    <w:rsid w:val="00C97688"/>
    <w:rsid w:val="00CA0121"/>
    <w:rsid w:val="00CA017C"/>
    <w:rsid w:val="00CA05C6"/>
    <w:rsid w:val="00CA0BC0"/>
    <w:rsid w:val="00CA0CDE"/>
    <w:rsid w:val="00CA0DFA"/>
    <w:rsid w:val="00CA0F93"/>
    <w:rsid w:val="00CA2329"/>
    <w:rsid w:val="00CA2911"/>
    <w:rsid w:val="00CA309B"/>
    <w:rsid w:val="00CA32A9"/>
    <w:rsid w:val="00CA3AF0"/>
    <w:rsid w:val="00CA3B70"/>
    <w:rsid w:val="00CA4403"/>
    <w:rsid w:val="00CA49C6"/>
    <w:rsid w:val="00CA4DF4"/>
    <w:rsid w:val="00CA4FB2"/>
    <w:rsid w:val="00CA68F7"/>
    <w:rsid w:val="00CA6CB8"/>
    <w:rsid w:val="00CA77F6"/>
    <w:rsid w:val="00CA7DB2"/>
    <w:rsid w:val="00CB1B77"/>
    <w:rsid w:val="00CB2486"/>
    <w:rsid w:val="00CB4334"/>
    <w:rsid w:val="00CB43A0"/>
    <w:rsid w:val="00CB462B"/>
    <w:rsid w:val="00CB4E6C"/>
    <w:rsid w:val="00CB4FF4"/>
    <w:rsid w:val="00CB5FB5"/>
    <w:rsid w:val="00CB65F1"/>
    <w:rsid w:val="00CB730C"/>
    <w:rsid w:val="00CB7AF6"/>
    <w:rsid w:val="00CB7F6C"/>
    <w:rsid w:val="00CC0265"/>
    <w:rsid w:val="00CC0A15"/>
    <w:rsid w:val="00CC0A92"/>
    <w:rsid w:val="00CC14FC"/>
    <w:rsid w:val="00CC2424"/>
    <w:rsid w:val="00CC2C08"/>
    <w:rsid w:val="00CC307A"/>
    <w:rsid w:val="00CC31C3"/>
    <w:rsid w:val="00CC4AD4"/>
    <w:rsid w:val="00CC4E2A"/>
    <w:rsid w:val="00CC5387"/>
    <w:rsid w:val="00CC580B"/>
    <w:rsid w:val="00CC5CA9"/>
    <w:rsid w:val="00CC6189"/>
    <w:rsid w:val="00CC64B9"/>
    <w:rsid w:val="00CC6511"/>
    <w:rsid w:val="00CC655C"/>
    <w:rsid w:val="00CC6BE5"/>
    <w:rsid w:val="00CC6C74"/>
    <w:rsid w:val="00CC7267"/>
    <w:rsid w:val="00CD0192"/>
    <w:rsid w:val="00CD0918"/>
    <w:rsid w:val="00CD2865"/>
    <w:rsid w:val="00CD4A29"/>
    <w:rsid w:val="00CD5543"/>
    <w:rsid w:val="00CD5974"/>
    <w:rsid w:val="00CD5ADA"/>
    <w:rsid w:val="00CD6090"/>
    <w:rsid w:val="00CD6488"/>
    <w:rsid w:val="00CD66E7"/>
    <w:rsid w:val="00CD6719"/>
    <w:rsid w:val="00CD6B58"/>
    <w:rsid w:val="00CD6F5C"/>
    <w:rsid w:val="00CD7091"/>
    <w:rsid w:val="00CD7164"/>
    <w:rsid w:val="00CD72F9"/>
    <w:rsid w:val="00CD793F"/>
    <w:rsid w:val="00CE03B5"/>
    <w:rsid w:val="00CE03CC"/>
    <w:rsid w:val="00CE0765"/>
    <w:rsid w:val="00CE09AE"/>
    <w:rsid w:val="00CE0B39"/>
    <w:rsid w:val="00CE1905"/>
    <w:rsid w:val="00CE1CB2"/>
    <w:rsid w:val="00CE28F8"/>
    <w:rsid w:val="00CE2CC6"/>
    <w:rsid w:val="00CE34BF"/>
    <w:rsid w:val="00CE3605"/>
    <w:rsid w:val="00CE369B"/>
    <w:rsid w:val="00CE403C"/>
    <w:rsid w:val="00CE471B"/>
    <w:rsid w:val="00CE4A0A"/>
    <w:rsid w:val="00CE4B3D"/>
    <w:rsid w:val="00CE4DBD"/>
    <w:rsid w:val="00CE4EED"/>
    <w:rsid w:val="00CE4F69"/>
    <w:rsid w:val="00CE506A"/>
    <w:rsid w:val="00CE5305"/>
    <w:rsid w:val="00CE5D0A"/>
    <w:rsid w:val="00CE5F20"/>
    <w:rsid w:val="00CE60C5"/>
    <w:rsid w:val="00CE635E"/>
    <w:rsid w:val="00CE647E"/>
    <w:rsid w:val="00CE6822"/>
    <w:rsid w:val="00CE6857"/>
    <w:rsid w:val="00CE6DFC"/>
    <w:rsid w:val="00CE6F68"/>
    <w:rsid w:val="00CE766A"/>
    <w:rsid w:val="00CE77F5"/>
    <w:rsid w:val="00CE7B3B"/>
    <w:rsid w:val="00CF0669"/>
    <w:rsid w:val="00CF0CA2"/>
    <w:rsid w:val="00CF14B4"/>
    <w:rsid w:val="00CF1E68"/>
    <w:rsid w:val="00CF1FC4"/>
    <w:rsid w:val="00CF2326"/>
    <w:rsid w:val="00CF2559"/>
    <w:rsid w:val="00CF2C47"/>
    <w:rsid w:val="00CF3737"/>
    <w:rsid w:val="00CF430E"/>
    <w:rsid w:val="00CF471B"/>
    <w:rsid w:val="00CF4BC4"/>
    <w:rsid w:val="00CF4FAE"/>
    <w:rsid w:val="00CF5096"/>
    <w:rsid w:val="00CF5D1F"/>
    <w:rsid w:val="00CF5ECF"/>
    <w:rsid w:val="00CF7154"/>
    <w:rsid w:val="00D000B5"/>
    <w:rsid w:val="00D002A6"/>
    <w:rsid w:val="00D00472"/>
    <w:rsid w:val="00D005A7"/>
    <w:rsid w:val="00D006CD"/>
    <w:rsid w:val="00D0087E"/>
    <w:rsid w:val="00D00DB8"/>
    <w:rsid w:val="00D014D0"/>
    <w:rsid w:val="00D01AA2"/>
    <w:rsid w:val="00D01D52"/>
    <w:rsid w:val="00D01F62"/>
    <w:rsid w:val="00D027E6"/>
    <w:rsid w:val="00D02811"/>
    <w:rsid w:val="00D0291C"/>
    <w:rsid w:val="00D02CB5"/>
    <w:rsid w:val="00D02F51"/>
    <w:rsid w:val="00D0307E"/>
    <w:rsid w:val="00D03CDD"/>
    <w:rsid w:val="00D04784"/>
    <w:rsid w:val="00D04B24"/>
    <w:rsid w:val="00D05D91"/>
    <w:rsid w:val="00D05DE3"/>
    <w:rsid w:val="00D062B0"/>
    <w:rsid w:val="00D06C90"/>
    <w:rsid w:val="00D06F67"/>
    <w:rsid w:val="00D0700C"/>
    <w:rsid w:val="00D076BF"/>
    <w:rsid w:val="00D07AF1"/>
    <w:rsid w:val="00D07FFD"/>
    <w:rsid w:val="00D10052"/>
    <w:rsid w:val="00D108B4"/>
    <w:rsid w:val="00D10ED8"/>
    <w:rsid w:val="00D110E5"/>
    <w:rsid w:val="00D1122D"/>
    <w:rsid w:val="00D11241"/>
    <w:rsid w:val="00D114E3"/>
    <w:rsid w:val="00D11B43"/>
    <w:rsid w:val="00D11E3F"/>
    <w:rsid w:val="00D11E7E"/>
    <w:rsid w:val="00D1209C"/>
    <w:rsid w:val="00D12287"/>
    <w:rsid w:val="00D1238A"/>
    <w:rsid w:val="00D13124"/>
    <w:rsid w:val="00D131FD"/>
    <w:rsid w:val="00D1334E"/>
    <w:rsid w:val="00D137B3"/>
    <w:rsid w:val="00D140F5"/>
    <w:rsid w:val="00D1488F"/>
    <w:rsid w:val="00D14B66"/>
    <w:rsid w:val="00D14CE3"/>
    <w:rsid w:val="00D15005"/>
    <w:rsid w:val="00D15375"/>
    <w:rsid w:val="00D15C98"/>
    <w:rsid w:val="00D16572"/>
    <w:rsid w:val="00D170C0"/>
    <w:rsid w:val="00D17B8E"/>
    <w:rsid w:val="00D17C0C"/>
    <w:rsid w:val="00D17DD1"/>
    <w:rsid w:val="00D20039"/>
    <w:rsid w:val="00D20537"/>
    <w:rsid w:val="00D20914"/>
    <w:rsid w:val="00D21088"/>
    <w:rsid w:val="00D21402"/>
    <w:rsid w:val="00D21EF2"/>
    <w:rsid w:val="00D21F11"/>
    <w:rsid w:val="00D21FFB"/>
    <w:rsid w:val="00D22B3C"/>
    <w:rsid w:val="00D231C8"/>
    <w:rsid w:val="00D23375"/>
    <w:rsid w:val="00D240B0"/>
    <w:rsid w:val="00D2449B"/>
    <w:rsid w:val="00D25716"/>
    <w:rsid w:val="00D2676B"/>
    <w:rsid w:val="00D269B7"/>
    <w:rsid w:val="00D274D3"/>
    <w:rsid w:val="00D3182A"/>
    <w:rsid w:val="00D32514"/>
    <w:rsid w:val="00D32C06"/>
    <w:rsid w:val="00D32DF1"/>
    <w:rsid w:val="00D330CA"/>
    <w:rsid w:val="00D33A88"/>
    <w:rsid w:val="00D3423B"/>
    <w:rsid w:val="00D34326"/>
    <w:rsid w:val="00D348D0"/>
    <w:rsid w:val="00D349AF"/>
    <w:rsid w:val="00D34B1A"/>
    <w:rsid w:val="00D34D24"/>
    <w:rsid w:val="00D34DA3"/>
    <w:rsid w:val="00D35D46"/>
    <w:rsid w:val="00D35F5F"/>
    <w:rsid w:val="00D36529"/>
    <w:rsid w:val="00D36741"/>
    <w:rsid w:val="00D37178"/>
    <w:rsid w:val="00D37487"/>
    <w:rsid w:val="00D3765F"/>
    <w:rsid w:val="00D377B7"/>
    <w:rsid w:val="00D37D45"/>
    <w:rsid w:val="00D403D7"/>
    <w:rsid w:val="00D40A8E"/>
    <w:rsid w:val="00D40E64"/>
    <w:rsid w:val="00D40E68"/>
    <w:rsid w:val="00D41119"/>
    <w:rsid w:val="00D41826"/>
    <w:rsid w:val="00D41A70"/>
    <w:rsid w:val="00D41B6D"/>
    <w:rsid w:val="00D42739"/>
    <w:rsid w:val="00D43187"/>
    <w:rsid w:val="00D43A99"/>
    <w:rsid w:val="00D4407A"/>
    <w:rsid w:val="00D4488B"/>
    <w:rsid w:val="00D44B2E"/>
    <w:rsid w:val="00D44C96"/>
    <w:rsid w:val="00D45794"/>
    <w:rsid w:val="00D458EC"/>
    <w:rsid w:val="00D462C2"/>
    <w:rsid w:val="00D47248"/>
    <w:rsid w:val="00D474F6"/>
    <w:rsid w:val="00D47544"/>
    <w:rsid w:val="00D47C15"/>
    <w:rsid w:val="00D50240"/>
    <w:rsid w:val="00D512B8"/>
    <w:rsid w:val="00D51506"/>
    <w:rsid w:val="00D527F7"/>
    <w:rsid w:val="00D53608"/>
    <w:rsid w:val="00D537A5"/>
    <w:rsid w:val="00D539CC"/>
    <w:rsid w:val="00D53C9F"/>
    <w:rsid w:val="00D54281"/>
    <w:rsid w:val="00D54323"/>
    <w:rsid w:val="00D54769"/>
    <w:rsid w:val="00D54AC9"/>
    <w:rsid w:val="00D558EC"/>
    <w:rsid w:val="00D55F34"/>
    <w:rsid w:val="00D5727C"/>
    <w:rsid w:val="00D60604"/>
    <w:rsid w:val="00D60A8D"/>
    <w:rsid w:val="00D61030"/>
    <w:rsid w:val="00D61609"/>
    <w:rsid w:val="00D62421"/>
    <w:rsid w:val="00D6283E"/>
    <w:rsid w:val="00D6299A"/>
    <w:rsid w:val="00D63654"/>
    <w:rsid w:val="00D638B0"/>
    <w:rsid w:val="00D63E66"/>
    <w:rsid w:val="00D64679"/>
    <w:rsid w:val="00D64BE2"/>
    <w:rsid w:val="00D64F1B"/>
    <w:rsid w:val="00D658CD"/>
    <w:rsid w:val="00D65B37"/>
    <w:rsid w:val="00D6716B"/>
    <w:rsid w:val="00D672AD"/>
    <w:rsid w:val="00D6752D"/>
    <w:rsid w:val="00D7002B"/>
    <w:rsid w:val="00D710FC"/>
    <w:rsid w:val="00D71107"/>
    <w:rsid w:val="00D71277"/>
    <w:rsid w:val="00D718F2"/>
    <w:rsid w:val="00D71CB9"/>
    <w:rsid w:val="00D721C2"/>
    <w:rsid w:val="00D728D4"/>
    <w:rsid w:val="00D729DC"/>
    <w:rsid w:val="00D7311B"/>
    <w:rsid w:val="00D7348E"/>
    <w:rsid w:val="00D73506"/>
    <w:rsid w:val="00D73BC5"/>
    <w:rsid w:val="00D74487"/>
    <w:rsid w:val="00D74ED2"/>
    <w:rsid w:val="00D7509F"/>
    <w:rsid w:val="00D75D57"/>
    <w:rsid w:val="00D76328"/>
    <w:rsid w:val="00D764EA"/>
    <w:rsid w:val="00D765E9"/>
    <w:rsid w:val="00D76A22"/>
    <w:rsid w:val="00D801D8"/>
    <w:rsid w:val="00D822D8"/>
    <w:rsid w:val="00D82550"/>
    <w:rsid w:val="00D826BD"/>
    <w:rsid w:val="00D83669"/>
    <w:rsid w:val="00D836BC"/>
    <w:rsid w:val="00D83878"/>
    <w:rsid w:val="00D838D0"/>
    <w:rsid w:val="00D85205"/>
    <w:rsid w:val="00D85234"/>
    <w:rsid w:val="00D8559F"/>
    <w:rsid w:val="00D856C3"/>
    <w:rsid w:val="00D857A0"/>
    <w:rsid w:val="00D8690D"/>
    <w:rsid w:val="00D87425"/>
    <w:rsid w:val="00D87B8C"/>
    <w:rsid w:val="00D87C9B"/>
    <w:rsid w:val="00D902F9"/>
    <w:rsid w:val="00D90C12"/>
    <w:rsid w:val="00D90FB5"/>
    <w:rsid w:val="00D91136"/>
    <w:rsid w:val="00D9197C"/>
    <w:rsid w:val="00D919EA"/>
    <w:rsid w:val="00D91B6A"/>
    <w:rsid w:val="00D92057"/>
    <w:rsid w:val="00D921CE"/>
    <w:rsid w:val="00D9280D"/>
    <w:rsid w:val="00D92AA0"/>
    <w:rsid w:val="00D9303F"/>
    <w:rsid w:val="00D93416"/>
    <w:rsid w:val="00D94453"/>
    <w:rsid w:val="00D94497"/>
    <w:rsid w:val="00D94A4D"/>
    <w:rsid w:val="00D94D2A"/>
    <w:rsid w:val="00D954FC"/>
    <w:rsid w:val="00D9592E"/>
    <w:rsid w:val="00D95DDC"/>
    <w:rsid w:val="00D9614E"/>
    <w:rsid w:val="00D965F3"/>
    <w:rsid w:val="00D967E3"/>
    <w:rsid w:val="00D96948"/>
    <w:rsid w:val="00D97168"/>
    <w:rsid w:val="00D9784C"/>
    <w:rsid w:val="00DA049E"/>
    <w:rsid w:val="00DA05A2"/>
    <w:rsid w:val="00DA0C67"/>
    <w:rsid w:val="00DA0DA3"/>
    <w:rsid w:val="00DA0EBC"/>
    <w:rsid w:val="00DA0FC1"/>
    <w:rsid w:val="00DA16F9"/>
    <w:rsid w:val="00DA1F5D"/>
    <w:rsid w:val="00DA2E79"/>
    <w:rsid w:val="00DA31A2"/>
    <w:rsid w:val="00DA3F79"/>
    <w:rsid w:val="00DA493C"/>
    <w:rsid w:val="00DA55E1"/>
    <w:rsid w:val="00DA5D7C"/>
    <w:rsid w:val="00DA6344"/>
    <w:rsid w:val="00DA70EE"/>
    <w:rsid w:val="00DA72E6"/>
    <w:rsid w:val="00DA7522"/>
    <w:rsid w:val="00DB02F3"/>
    <w:rsid w:val="00DB0774"/>
    <w:rsid w:val="00DB08E0"/>
    <w:rsid w:val="00DB0A47"/>
    <w:rsid w:val="00DB17C5"/>
    <w:rsid w:val="00DB1B41"/>
    <w:rsid w:val="00DB1C0F"/>
    <w:rsid w:val="00DB1EF2"/>
    <w:rsid w:val="00DB1FF7"/>
    <w:rsid w:val="00DB3401"/>
    <w:rsid w:val="00DB3571"/>
    <w:rsid w:val="00DB3A31"/>
    <w:rsid w:val="00DB3DC1"/>
    <w:rsid w:val="00DB428A"/>
    <w:rsid w:val="00DB44B7"/>
    <w:rsid w:val="00DB4E48"/>
    <w:rsid w:val="00DB4F03"/>
    <w:rsid w:val="00DB57C3"/>
    <w:rsid w:val="00DB5A7F"/>
    <w:rsid w:val="00DB5F0B"/>
    <w:rsid w:val="00DB6326"/>
    <w:rsid w:val="00DB6914"/>
    <w:rsid w:val="00DB6949"/>
    <w:rsid w:val="00DB6B72"/>
    <w:rsid w:val="00DB705B"/>
    <w:rsid w:val="00DB78CC"/>
    <w:rsid w:val="00DB7B09"/>
    <w:rsid w:val="00DB7BAE"/>
    <w:rsid w:val="00DC041E"/>
    <w:rsid w:val="00DC0513"/>
    <w:rsid w:val="00DC0D38"/>
    <w:rsid w:val="00DC1935"/>
    <w:rsid w:val="00DC199B"/>
    <w:rsid w:val="00DC2451"/>
    <w:rsid w:val="00DC2767"/>
    <w:rsid w:val="00DC28AF"/>
    <w:rsid w:val="00DC2D97"/>
    <w:rsid w:val="00DC2E16"/>
    <w:rsid w:val="00DC3082"/>
    <w:rsid w:val="00DC32DB"/>
    <w:rsid w:val="00DC32F2"/>
    <w:rsid w:val="00DC3780"/>
    <w:rsid w:val="00DC37B8"/>
    <w:rsid w:val="00DC3802"/>
    <w:rsid w:val="00DC38B5"/>
    <w:rsid w:val="00DC38BE"/>
    <w:rsid w:val="00DC3D37"/>
    <w:rsid w:val="00DC461C"/>
    <w:rsid w:val="00DC4818"/>
    <w:rsid w:val="00DC498D"/>
    <w:rsid w:val="00DC4C50"/>
    <w:rsid w:val="00DC4D0F"/>
    <w:rsid w:val="00DC4F0E"/>
    <w:rsid w:val="00DC5479"/>
    <w:rsid w:val="00DC5603"/>
    <w:rsid w:val="00DC56F9"/>
    <w:rsid w:val="00DC578C"/>
    <w:rsid w:val="00DC57FB"/>
    <w:rsid w:val="00DC5893"/>
    <w:rsid w:val="00DC677B"/>
    <w:rsid w:val="00DC6C30"/>
    <w:rsid w:val="00DC6D60"/>
    <w:rsid w:val="00DC7032"/>
    <w:rsid w:val="00DC71CB"/>
    <w:rsid w:val="00DC78E0"/>
    <w:rsid w:val="00DC7A4E"/>
    <w:rsid w:val="00DC7A9E"/>
    <w:rsid w:val="00DC7FDC"/>
    <w:rsid w:val="00DD0047"/>
    <w:rsid w:val="00DD0214"/>
    <w:rsid w:val="00DD0713"/>
    <w:rsid w:val="00DD088C"/>
    <w:rsid w:val="00DD08AA"/>
    <w:rsid w:val="00DD1152"/>
    <w:rsid w:val="00DD11FA"/>
    <w:rsid w:val="00DD1A4B"/>
    <w:rsid w:val="00DD1A8A"/>
    <w:rsid w:val="00DD2382"/>
    <w:rsid w:val="00DD2591"/>
    <w:rsid w:val="00DD2858"/>
    <w:rsid w:val="00DD3087"/>
    <w:rsid w:val="00DD34ED"/>
    <w:rsid w:val="00DD473D"/>
    <w:rsid w:val="00DD4F7E"/>
    <w:rsid w:val="00DD50B8"/>
    <w:rsid w:val="00DD549F"/>
    <w:rsid w:val="00DD588E"/>
    <w:rsid w:val="00DD5897"/>
    <w:rsid w:val="00DD5E7C"/>
    <w:rsid w:val="00DD6469"/>
    <w:rsid w:val="00DD6C21"/>
    <w:rsid w:val="00DD773F"/>
    <w:rsid w:val="00DD7F7F"/>
    <w:rsid w:val="00DE00BB"/>
    <w:rsid w:val="00DE0829"/>
    <w:rsid w:val="00DE0CBD"/>
    <w:rsid w:val="00DE111B"/>
    <w:rsid w:val="00DE1DAD"/>
    <w:rsid w:val="00DE1EAE"/>
    <w:rsid w:val="00DE2438"/>
    <w:rsid w:val="00DE243C"/>
    <w:rsid w:val="00DE2536"/>
    <w:rsid w:val="00DE282A"/>
    <w:rsid w:val="00DE3242"/>
    <w:rsid w:val="00DE4081"/>
    <w:rsid w:val="00DE4653"/>
    <w:rsid w:val="00DE4963"/>
    <w:rsid w:val="00DE4F6F"/>
    <w:rsid w:val="00DE5DA2"/>
    <w:rsid w:val="00DE5F09"/>
    <w:rsid w:val="00DE6ED2"/>
    <w:rsid w:val="00DE7749"/>
    <w:rsid w:val="00DE7EC4"/>
    <w:rsid w:val="00DF008C"/>
    <w:rsid w:val="00DF07CE"/>
    <w:rsid w:val="00DF093F"/>
    <w:rsid w:val="00DF094C"/>
    <w:rsid w:val="00DF0EAB"/>
    <w:rsid w:val="00DF0F89"/>
    <w:rsid w:val="00DF1366"/>
    <w:rsid w:val="00DF164A"/>
    <w:rsid w:val="00DF22BB"/>
    <w:rsid w:val="00DF29DF"/>
    <w:rsid w:val="00DF2B0B"/>
    <w:rsid w:val="00DF2D12"/>
    <w:rsid w:val="00DF3825"/>
    <w:rsid w:val="00DF3A9A"/>
    <w:rsid w:val="00DF51F2"/>
    <w:rsid w:val="00DF5601"/>
    <w:rsid w:val="00DF59DC"/>
    <w:rsid w:val="00DF59F8"/>
    <w:rsid w:val="00DF5BE0"/>
    <w:rsid w:val="00DF5CFB"/>
    <w:rsid w:val="00DF69D4"/>
    <w:rsid w:val="00DF6C13"/>
    <w:rsid w:val="00DF753D"/>
    <w:rsid w:val="00DF7FE0"/>
    <w:rsid w:val="00E00401"/>
    <w:rsid w:val="00E0040B"/>
    <w:rsid w:val="00E01624"/>
    <w:rsid w:val="00E01751"/>
    <w:rsid w:val="00E01AEF"/>
    <w:rsid w:val="00E01CA8"/>
    <w:rsid w:val="00E01DC9"/>
    <w:rsid w:val="00E02F41"/>
    <w:rsid w:val="00E030A3"/>
    <w:rsid w:val="00E037C9"/>
    <w:rsid w:val="00E03A2F"/>
    <w:rsid w:val="00E03D44"/>
    <w:rsid w:val="00E03F0A"/>
    <w:rsid w:val="00E03F18"/>
    <w:rsid w:val="00E042D3"/>
    <w:rsid w:val="00E0491E"/>
    <w:rsid w:val="00E04ABC"/>
    <w:rsid w:val="00E05766"/>
    <w:rsid w:val="00E057EE"/>
    <w:rsid w:val="00E05A73"/>
    <w:rsid w:val="00E05D45"/>
    <w:rsid w:val="00E05DA8"/>
    <w:rsid w:val="00E06163"/>
    <w:rsid w:val="00E06524"/>
    <w:rsid w:val="00E06872"/>
    <w:rsid w:val="00E06B97"/>
    <w:rsid w:val="00E0702B"/>
    <w:rsid w:val="00E074CD"/>
    <w:rsid w:val="00E07AA1"/>
    <w:rsid w:val="00E07D42"/>
    <w:rsid w:val="00E07FF7"/>
    <w:rsid w:val="00E10064"/>
    <w:rsid w:val="00E1100B"/>
    <w:rsid w:val="00E1116A"/>
    <w:rsid w:val="00E1154F"/>
    <w:rsid w:val="00E11B51"/>
    <w:rsid w:val="00E121BE"/>
    <w:rsid w:val="00E12510"/>
    <w:rsid w:val="00E13C26"/>
    <w:rsid w:val="00E14001"/>
    <w:rsid w:val="00E1516E"/>
    <w:rsid w:val="00E152A6"/>
    <w:rsid w:val="00E156B9"/>
    <w:rsid w:val="00E15719"/>
    <w:rsid w:val="00E16A10"/>
    <w:rsid w:val="00E16F63"/>
    <w:rsid w:val="00E170A1"/>
    <w:rsid w:val="00E17CD8"/>
    <w:rsid w:val="00E20447"/>
    <w:rsid w:val="00E20CAB"/>
    <w:rsid w:val="00E22157"/>
    <w:rsid w:val="00E22224"/>
    <w:rsid w:val="00E22520"/>
    <w:rsid w:val="00E2283A"/>
    <w:rsid w:val="00E2338F"/>
    <w:rsid w:val="00E2381E"/>
    <w:rsid w:val="00E238EF"/>
    <w:rsid w:val="00E25B40"/>
    <w:rsid w:val="00E2630F"/>
    <w:rsid w:val="00E26E76"/>
    <w:rsid w:val="00E275AA"/>
    <w:rsid w:val="00E30525"/>
    <w:rsid w:val="00E306E0"/>
    <w:rsid w:val="00E30B6E"/>
    <w:rsid w:val="00E31600"/>
    <w:rsid w:val="00E316EE"/>
    <w:rsid w:val="00E31EEA"/>
    <w:rsid w:val="00E3203A"/>
    <w:rsid w:val="00E3261F"/>
    <w:rsid w:val="00E3266C"/>
    <w:rsid w:val="00E326F2"/>
    <w:rsid w:val="00E32A5E"/>
    <w:rsid w:val="00E33360"/>
    <w:rsid w:val="00E33610"/>
    <w:rsid w:val="00E33AF2"/>
    <w:rsid w:val="00E33BC5"/>
    <w:rsid w:val="00E33C12"/>
    <w:rsid w:val="00E33CE8"/>
    <w:rsid w:val="00E342DA"/>
    <w:rsid w:val="00E34540"/>
    <w:rsid w:val="00E357AA"/>
    <w:rsid w:val="00E37155"/>
    <w:rsid w:val="00E3766F"/>
    <w:rsid w:val="00E37CF3"/>
    <w:rsid w:val="00E40665"/>
    <w:rsid w:val="00E40C4E"/>
    <w:rsid w:val="00E40D92"/>
    <w:rsid w:val="00E40E2A"/>
    <w:rsid w:val="00E40E64"/>
    <w:rsid w:val="00E41206"/>
    <w:rsid w:val="00E41D1F"/>
    <w:rsid w:val="00E41E6B"/>
    <w:rsid w:val="00E4215C"/>
    <w:rsid w:val="00E42170"/>
    <w:rsid w:val="00E427AB"/>
    <w:rsid w:val="00E42D87"/>
    <w:rsid w:val="00E42DA4"/>
    <w:rsid w:val="00E42EE2"/>
    <w:rsid w:val="00E4345A"/>
    <w:rsid w:val="00E446FE"/>
    <w:rsid w:val="00E44C8A"/>
    <w:rsid w:val="00E45273"/>
    <w:rsid w:val="00E45380"/>
    <w:rsid w:val="00E457C2"/>
    <w:rsid w:val="00E45C1B"/>
    <w:rsid w:val="00E45E25"/>
    <w:rsid w:val="00E46612"/>
    <w:rsid w:val="00E46B00"/>
    <w:rsid w:val="00E46BB3"/>
    <w:rsid w:val="00E46D1B"/>
    <w:rsid w:val="00E471BF"/>
    <w:rsid w:val="00E4727F"/>
    <w:rsid w:val="00E47649"/>
    <w:rsid w:val="00E47941"/>
    <w:rsid w:val="00E47AE8"/>
    <w:rsid w:val="00E47D8F"/>
    <w:rsid w:val="00E500A9"/>
    <w:rsid w:val="00E513D2"/>
    <w:rsid w:val="00E51B57"/>
    <w:rsid w:val="00E51CBF"/>
    <w:rsid w:val="00E51DF8"/>
    <w:rsid w:val="00E51E50"/>
    <w:rsid w:val="00E52115"/>
    <w:rsid w:val="00E53097"/>
    <w:rsid w:val="00E53098"/>
    <w:rsid w:val="00E53D30"/>
    <w:rsid w:val="00E53E24"/>
    <w:rsid w:val="00E54477"/>
    <w:rsid w:val="00E5461E"/>
    <w:rsid w:val="00E54CE8"/>
    <w:rsid w:val="00E5519A"/>
    <w:rsid w:val="00E5589E"/>
    <w:rsid w:val="00E55BDE"/>
    <w:rsid w:val="00E55E31"/>
    <w:rsid w:val="00E56586"/>
    <w:rsid w:val="00E56926"/>
    <w:rsid w:val="00E56A66"/>
    <w:rsid w:val="00E56E27"/>
    <w:rsid w:val="00E57110"/>
    <w:rsid w:val="00E571A7"/>
    <w:rsid w:val="00E57317"/>
    <w:rsid w:val="00E579CE"/>
    <w:rsid w:val="00E57DEB"/>
    <w:rsid w:val="00E601A3"/>
    <w:rsid w:val="00E60382"/>
    <w:rsid w:val="00E618F4"/>
    <w:rsid w:val="00E61AED"/>
    <w:rsid w:val="00E6256E"/>
    <w:rsid w:val="00E62668"/>
    <w:rsid w:val="00E627EF"/>
    <w:rsid w:val="00E628BB"/>
    <w:rsid w:val="00E62A9C"/>
    <w:rsid w:val="00E63E6B"/>
    <w:rsid w:val="00E647E1"/>
    <w:rsid w:val="00E64D09"/>
    <w:rsid w:val="00E65890"/>
    <w:rsid w:val="00E659BC"/>
    <w:rsid w:val="00E65F70"/>
    <w:rsid w:val="00E661BF"/>
    <w:rsid w:val="00E66256"/>
    <w:rsid w:val="00E6642F"/>
    <w:rsid w:val="00E66476"/>
    <w:rsid w:val="00E66735"/>
    <w:rsid w:val="00E667F5"/>
    <w:rsid w:val="00E66882"/>
    <w:rsid w:val="00E66BD7"/>
    <w:rsid w:val="00E701A0"/>
    <w:rsid w:val="00E702A0"/>
    <w:rsid w:val="00E7056E"/>
    <w:rsid w:val="00E70A2F"/>
    <w:rsid w:val="00E710AD"/>
    <w:rsid w:val="00E71413"/>
    <w:rsid w:val="00E714D9"/>
    <w:rsid w:val="00E71C18"/>
    <w:rsid w:val="00E7204C"/>
    <w:rsid w:val="00E725A3"/>
    <w:rsid w:val="00E72785"/>
    <w:rsid w:val="00E72AAD"/>
    <w:rsid w:val="00E7314B"/>
    <w:rsid w:val="00E731B3"/>
    <w:rsid w:val="00E733CB"/>
    <w:rsid w:val="00E73679"/>
    <w:rsid w:val="00E73B29"/>
    <w:rsid w:val="00E740B0"/>
    <w:rsid w:val="00E740D1"/>
    <w:rsid w:val="00E74703"/>
    <w:rsid w:val="00E7475C"/>
    <w:rsid w:val="00E74C1E"/>
    <w:rsid w:val="00E74F6A"/>
    <w:rsid w:val="00E7630B"/>
    <w:rsid w:val="00E7699B"/>
    <w:rsid w:val="00E76DF9"/>
    <w:rsid w:val="00E77413"/>
    <w:rsid w:val="00E7744F"/>
    <w:rsid w:val="00E778A4"/>
    <w:rsid w:val="00E778B5"/>
    <w:rsid w:val="00E77941"/>
    <w:rsid w:val="00E804FF"/>
    <w:rsid w:val="00E80784"/>
    <w:rsid w:val="00E81201"/>
    <w:rsid w:val="00E812AB"/>
    <w:rsid w:val="00E81775"/>
    <w:rsid w:val="00E81DD3"/>
    <w:rsid w:val="00E8203A"/>
    <w:rsid w:val="00E826FD"/>
    <w:rsid w:val="00E82824"/>
    <w:rsid w:val="00E82CB7"/>
    <w:rsid w:val="00E82F1A"/>
    <w:rsid w:val="00E82F8C"/>
    <w:rsid w:val="00E82FB2"/>
    <w:rsid w:val="00E8387A"/>
    <w:rsid w:val="00E838B6"/>
    <w:rsid w:val="00E83CDE"/>
    <w:rsid w:val="00E83D82"/>
    <w:rsid w:val="00E84008"/>
    <w:rsid w:val="00E846A1"/>
    <w:rsid w:val="00E84901"/>
    <w:rsid w:val="00E84D7E"/>
    <w:rsid w:val="00E84DB2"/>
    <w:rsid w:val="00E8531E"/>
    <w:rsid w:val="00E85728"/>
    <w:rsid w:val="00E86202"/>
    <w:rsid w:val="00E86599"/>
    <w:rsid w:val="00E86A11"/>
    <w:rsid w:val="00E86D35"/>
    <w:rsid w:val="00E87564"/>
    <w:rsid w:val="00E904CF"/>
    <w:rsid w:val="00E90D7C"/>
    <w:rsid w:val="00E91588"/>
    <w:rsid w:val="00E91F2C"/>
    <w:rsid w:val="00E91F9A"/>
    <w:rsid w:val="00E921D2"/>
    <w:rsid w:val="00E9257C"/>
    <w:rsid w:val="00E929BC"/>
    <w:rsid w:val="00E92C76"/>
    <w:rsid w:val="00E932ED"/>
    <w:rsid w:val="00E934B0"/>
    <w:rsid w:val="00E93878"/>
    <w:rsid w:val="00E93B91"/>
    <w:rsid w:val="00E94625"/>
    <w:rsid w:val="00E95467"/>
    <w:rsid w:val="00E956D2"/>
    <w:rsid w:val="00E9625F"/>
    <w:rsid w:val="00E962C2"/>
    <w:rsid w:val="00E96556"/>
    <w:rsid w:val="00E96622"/>
    <w:rsid w:val="00E96700"/>
    <w:rsid w:val="00E96C91"/>
    <w:rsid w:val="00E97068"/>
    <w:rsid w:val="00E9736D"/>
    <w:rsid w:val="00E97753"/>
    <w:rsid w:val="00E97D9F"/>
    <w:rsid w:val="00EA021F"/>
    <w:rsid w:val="00EA0618"/>
    <w:rsid w:val="00EA0D0E"/>
    <w:rsid w:val="00EA197E"/>
    <w:rsid w:val="00EA21B1"/>
    <w:rsid w:val="00EA2415"/>
    <w:rsid w:val="00EA2937"/>
    <w:rsid w:val="00EA30BD"/>
    <w:rsid w:val="00EA328C"/>
    <w:rsid w:val="00EA32B8"/>
    <w:rsid w:val="00EA3879"/>
    <w:rsid w:val="00EA440A"/>
    <w:rsid w:val="00EA4428"/>
    <w:rsid w:val="00EA4BF8"/>
    <w:rsid w:val="00EA5078"/>
    <w:rsid w:val="00EA5348"/>
    <w:rsid w:val="00EA5C60"/>
    <w:rsid w:val="00EA60FF"/>
    <w:rsid w:val="00EA6F71"/>
    <w:rsid w:val="00EA74A5"/>
    <w:rsid w:val="00EA74DF"/>
    <w:rsid w:val="00EA7628"/>
    <w:rsid w:val="00EA7E8E"/>
    <w:rsid w:val="00EB0989"/>
    <w:rsid w:val="00EB11A8"/>
    <w:rsid w:val="00EB1CCE"/>
    <w:rsid w:val="00EB2590"/>
    <w:rsid w:val="00EB2616"/>
    <w:rsid w:val="00EB2F74"/>
    <w:rsid w:val="00EB35DE"/>
    <w:rsid w:val="00EB3609"/>
    <w:rsid w:val="00EB3B17"/>
    <w:rsid w:val="00EB3B76"/>
    <w:rsid w:val="00EB3E20"/>
    <w:rsid w:val="00EB3E23"/>
    <w:rsid w:val="00EB3F6B"/>
    <w:rsid w:val="00EB4454"/>
    <w:rsid w:val="00EB46CB"/>
    <w:rsid w:val="00EB49F4"/>
    <w:rsid w:val="00EB50BA"/>
    <w:rsid w:val="00EB7301"/>
    <w:rsid w:val="00EB7BCD"/>
    <w:rsid w:val="00EB7EE6"/>
    <w:rsid w:val="00EC008C"/>
    <w:rsid w:val="00EC0C91"/>
    <w:rsid w:val="00EC0D0C"/>
    <w:rsid w:val="00EC0D7A"/>
    <w:rsid w:val="00EC0F80"/>
    <w:rsid w:val="00EC11C5"/>
    <w:rsid w:val="00EC1AA5"/>
    <w:rsid w:val="00EC212C"/>
    <w:rsid w:val="00EC2292"/>
    <w:rsid w:val="00EC2A0D"/>
    <w:rsid w:val="00EC30F2"/>
    <w:rsid w:val="00EC32E7"/>
    <w:rsid w:val="00EC355D"/>
    <w:rsid w:val="00EC35FD"/>
    <w:rsid w:val="00EC3AFD"/>
    <w:rsid w:val="00EC4623"/>
    <w:rsid w:val="00EC4634"/>
    <w:rsid w:val="00EC481A"/>
    <w:rsid w:val="00EC4D09"/>
    <w:rsid w:val="00EC50C4"/>
    <w:rsid w:val="00EC5A6D"/>
    <w:rsid w:val="00EC5EDC"/>
    <w:rsid w:val="00EC68D0"/>
    <w:rsid w:val="00EC69EB"/>
    <w:rsid w:val="00EC6A74"/>
    <w:rsid w:val="00EC7357"/>
    <w:rsid w:val="00EC7803"/>
    <w:rsid w:val="00EC7A70"/>
    <w:rsid w:val="00EC7A8B"/>
    <w:rsid w:val="00EC7BB7"/>
    <w:rsid w:val="00ED02E0"/>
    <w:rsid w:val="00ED05D2"/>
    <w:rsid w:val="00ED08A2"/>
    <w:rsid w:val="00ED0983"/>
    <w:rsid w:val="00ED1D14"/>
    <w:rsid w:val="00ED21B3"/>
    <w:rsid w:val="00ED27A3"/>
    <w:rsid w:val="00ED37AB"/>
    <w:rsid w:val="00ED3ACF"/>
    <w:rsid w:val="00ED4001"/>
    <w:rsid w:val="00ED4B35"/>
    <w:rsid w:val="00ED51AA"/>
    <w:rsid w:val="00ED5456"/>
    <w:rsid w:val="00ED5538"/>
    <w:rsid w:val="00ED56EB"/>
    <w:rsid w:val="00ED56EC"/>
    <w:rsid w:val="00ED59F9"/>
    <w:rsid w:val="00ED61ED"/>
    <w:rsid w:val="00ED69A3"/>
    <w:rsid w:val="00ED6BD6"/>
    <w:rsid w:val="00ED6C3D"/>
    <w:rsid w:val="00ED6F9A"/>
    <w:rsid w:val="00ED70C9"/>
    <w:rsid w:val="00ED738F"/>
    <w:rsid w:val="00ED7907"/>
    <w:rsid w:val="00ED7BEA"/>
    <w:rsid w:val="00ED7E4B"/>
    <w:rsid w:val="00EE037D"/>
    <w:rsid w:val="00EE0FC8"/>
    <w:rsid w:val="00EE12E9"/>
    <w:rsid w:val="00EE14E5"/>
    <w:rsid w:val="00EE19B7"/>
    <w:rsid w:val="00EE2324"/>
    <w:rsid w:val="00EE2667"/>
    <w:rsid w:val="00EE2C1C"/>
    <w:rsid w:val="00EE2DA3"/>
    <w:rsid w:val="00EE37A5"/>
    <w:rsid w:val="00EE3D63"/>
    <w:rsid w:val="00EE4014"/>
    <w:rsid w:val="00EE45CC"/>
    <w:rsid w:val="00EE4839"/>
    <w:rsid w:val="00EE5CDB"/>
    <w:rsid w:val="00EE6BBB"/>
    <w:rsid w:val="00EE763C"/>
    <w:rsid w:val="00EE77C6"/>
    <w:rsid w:val="00EF00C7"/>
    <w:rsid w:val="00EF165E"/>
    <w:rsid w:val="00EF1976"/>
    <w:rsid w:val="00EF21A4"/>
    <w:rsid w:val="00EF2284"/>
    <w:rsid w:val="00EF239F"/>
    <w:rsid w:val="00EF2B20"/>
    <w:rsid w:val="00EF2DEF"/>
    <w:rsid w:val="00EF3D5A"/>
    <w:rsid w:val="00EF42B5"/>
    <w:rsid w:val="00EF4533"/>
    <w:rsid w:val="00EF455A"/>
    <w:rsid w:val="00EF4862"/>
    <w:rsid w:val="00EF522E"/>
    <w:rsid w:val="00EF5392"/>
    <w:rsid w:val="00EF5771"/>
    <w:rsid w:val="00EF5A2D"/>
    <w:rsid w:val="00EF5B37"/>
    <w:rsid w:val="00EF65F4"/>
    <w:rsid w:val="00EF6886"/>
    <w:rsid w:val="00EF6B14"/>
    <w:rsid w:val="00EF7170"/>
    <w:rsid w:val="00EF7EEA"/>
    <w:rsid w:val="00F0044B"/>
    <w:rsid w:val="00F00B16"/>
    <w:rsid w:val="00F00F35"/>
    <w:rsid w:val="00F0137E"/>
    <w:rsid w:val="00F0188F"/>
    <w:rsid w:val="00F01AD3"/>
    <w:rsid w:val="00F01D56"/>
    <w:rsid w:val="00F0314F"/>
    <w:rsid w:val="00F0375B"/>
    <w:rsid w:val="00F042AD"/>
    <w:rsid w:val="00F044E5"/>
    <w:rsid w:val="00F04502"/>
    <w:rsid w:val="00F04972"/>
    <w:rsid w:val="00F04CDC"/>
    <w:rsid w:val="00F05325"/>
    <w:rsid w:val="00F059D2"/>
    <w:rsid w:val="00F05DFB"/>
    <w:rsid w:val="00F05FDC"/>
    <w:rsid w:val="00F06073"/>
    <w:rsid w:val="00F0617A"/>
    <w:rsid w:val="00F061FE"/>
    <w:rsid w:val="00F0629B"/>
    <w:rsid w:val="00F065B5"/>
    <w:rsid w:val="00F06708"/>
    <w:rsid w:val="00F0676E"/>
    <w:rsid w:val="00F06ECA"/>
    <w:rsid w:val="00F10038"/>
    <w:rsid w:val="00F106AA"/>
    <w:rsid w:val="00F10AC6"/>
    <w:rsid w:val="00F10F48"/>
    <w:rsid w:val="00F112D2"/>
    <w:rsid w:val="00F121B3"/>
    <w:rsid w:val="00F1251F"/>
    <w:rsid w:val="00F12FF1"/>
    <w:rsid w:val="00F13070"/>
    <w:rsid w:val="00F13265"/>
    <w:rsid w:val="00F13385"/>
    <w:rsid w:val="00F1388C"/>
    <w:rsid w:val="00F1395E"/>
    <w:rsid w:val="00F13F1A"/>
    <w:rsid w:val="00F14112"/>
    <w:rsid w:val="00F14578"/>
    <w:rsid w:val="00F146F8"/>
    <w:rsid w:val="00F14D3E"/>
    <w:rsid w:val="00F15629"/>
    <w:rsid w:val="00F15BFC"/>
    <w:rsid w:val="00F15DC4"/>
    <w:rsid w:val="00F163C1"/>
    <w:rsid w:val="00F16739"/>
    <w:rsid w:val="00F16C0E"/>
    <w:rsid w:val="00F2037B"/>
    <w:rsid w:val="00F2073D"/>
    <w:rsid w:val="00F20F06"/>
    <w:rsid w:val="00F20FA8"/>
    <w:rsid w:val="00F222F4"/>
    <w:rsid w:val="00F22BA5"/>
    <w:rsid w:val="00F22FC3"/>
    <w:rsid w:val="00F23F8B"/>
    <w:rsid w:val="00F24A7B"/>
    <w:rsid w:val="00F25EF5"/>
    <w:rsid w:val="00F25F70"/>
    <w:rsid w:val="00F2634F"/>
    <w:rsid w:val="00F26627"/>
    <w:rsid w:val="00F26FD3"/>
    <w:rsid w:val="00F277E6"/>
    <w:rsid w:val="00F27877"/>
    <w:rsid w:val="00F27B11"/>
    <w:rsid w:val="00F307CF"/>
    <w:rsid w:val="00F30ACB"/>
    <w:rsid w:val="00F30E54"/>
    <w:rsid w:val="00F3149C"/>
    <w:rsid w:val="00F31A9C"/>
    <w:rsid w:val="00F31FC4"/>
    <w:rsid w:val="00F320B7"/>
    <w:rsid w:val="00F327F0"/>
    <w:rsid w:val="00F32C7A"/>
    <w:rsid w:val="00F33DB6"/>
    <w:rsid w:val="00F34135"/>
    <w:rsid w:val="00F341A0"/>
    <w:rsid w:val="00F343D8"/>
    <w:rsid w:val="00F343EB"/>
    <w:rsid w:val="00F34472"/>
    <w:rsid w:val="00F34D3D"/>
    <w:rsid w:val="00F3546C"/>
    <w:rsid w:val="00F35738"/>
    <w:rsid w:val="00F35E74"/>
    <w:rsid w:val="00F35F96"/>
    <w:rsid w:val="00F35FEC"/>
    <w:rsid w:val="00F36B32"/>
    <w:rsid w:val="00F3715C"/>
    <w:rsid w:val="00F37344"/>
    <w:rsid w:val="00F37656"/>
    <w:rsid w:val="00F37B75"/>
    <w:rsid w:val="00F41715"/>
    <w:rsid w:val="00F424FC"/>
    <w:rsid w:val="00F42B4D"/>
    <w:rsid w:val="00F43084"/>
    <w:rsid w:val="00F430CB"/>
    <w:rsid w:val="00F438BC"/>
    <w:rsid w:val="00F44FB4"/>
    <w:rsid w:val="00F45140"/>
    <w:rsid w:val="00F4525C"/>
    <w:rsid w:val="00F45496"/>
    <w:rsid w:val="00F45BC2"/>
    <w:rsid w:val="00F45E92"/>
    <w:rsid w:val="00F476B1"/>
    <w:rsid w:val="00F47D00"/>
    <w:rsid w:val="00F47E35"/>
    <w:rsid w:val="00F47EE6"/>
    <w:rsid w:val="00F5016C"/>
    <w:rsid w:val="00F50599"/>
    <w:rsid w:val="00F50CA6"/>
    <w:rsid w:val="00F50ED5"/>
    <w:rsid w:val="00F50F4F"/>
    <w:rsid w:val="00F51089"/>
    <w:rsid w:val="00F523A8"/>
    <w:rsid w:val="00F52A5C"/>
    <w:rsid w:val="00F53B53"/>
    <w:rsid w:val="00F53B88"/>
    <w:rsid w:val="00F53C3A"/>
    <w:rsid w:val="00F53D69"/>
    <w:rsid w:val="00F53E55"/>
    <w:rsid w:val="00F54899"/>
    <w:rsid w:val="00F54901"/>
    <w:rsid w:val="00F54AB2"/>
    <w:rsid w:val="00F54E28"/>
    <w:rsid w:val="00F552E1"/>
    <w:rsid w:val="00F55618"/>
    <w:rsid w:val="00F558BD"/>
    <w:rsid w:val="00F564B4"/>
    <w:rsid w:val="00F56AF6"/>
    <w:rsid w:val="00F5770A"/>
    <w:rsid w:val="00F57FDA"/>
    <w:rsid w:val="00F6047A"/>
    <w:rsid w:val="00F6073D"/>
    <w:rsid w:val="00F60CAB"/>
    <w:rsid w:val="00F60D4C"/>
    <w:rsid w:val="00F60D72"/>
    <w:rsid w:val="00F6106E"/>
    <w:rsid w:val="00F610C4"/>
    <w:rsid w:val="00F614B6"/>
    <w:rsid w:val="00F6171E"/>
    <w:rsid w:val="00F61808"/>
    <w:rsid w:val="00F61E5E"/>
    <w:rsid w:val="00F62D15"/>
    <w:rsid w:val="00F636D2"/>
    <w:rsid w:val="00F63AA6"/>
    <w:rsid w:val="00F65133"/>
    <w:rsid w:val="00F65B6D"/>
    <w:rsid w:val="00F65E84"/>
    <w:rsid w:val="00F666EF"/>
    <w:rsid w:val="00F66D2A"/>
    <w:rsid w:val="00F6753B"/>
    <w:rsid w:val="00F67705"/>
    <w:rsid w:val="00F67831"/>
    <w:rsid w:val="00F701E3"/>
    <w:rsid w:val="00F70835"/>
    <w:rsid w:val="00F70AC9"/>
    <w:rsid w:val="00F70E3A"/>
    <w:rsid w:val="00F70EA8"/>
    <w:rsid w:val="00F71157"/>
    <w:rsid w:val="00F711B1"/>
    <w:rsid w:val="00F71EB1"/>
    <w:rsid w:val="00F72BE2"/>
    <w:rsid w:val="00F73467"/>
    <w:rsid w:val="00F73C5D"/>
    <w:rsid w:val="00F74508"/>
    <w:rsid w:val="00F749FD"/>
    <w:rsid w:val="00F74BA0"/>
    <w:rsid w:val="00F74E59"/>
    <w:rsid w:val="00F750C8"/>
    <w:rsid w:val="00F756A1"/>
    <w:rsid w:val="00F75F99"/>
    <w:rsid w:val="00F76370"/>
    <w:rsid w:val="00F763E6"/>
    <w:rsid w:val="00F7686E"/>
    <w:rsid w:val="00F7689A"/>
    <w:rsid w:val="00F76DAB"/>
    <w:rsid w:val="00F772D6"/>
    <w:rsid w:val="00F77356"/>
    <w:rsid w:val="00F775F5"/>
    <w:rsid w:val="00F77A0B"/>
    <w:rsid w:val="00F80CCE"/>
    <w:rsid w:val="00F8198C"/>
    <w:rsid w:val="00F819B4"/>
    <w:rsid w:val="00F81E06"/>
    <w:rsid w:val="00F82787"/>
    <w:rsid w:val="00F82AE5"/>
    <w:rsid w:val="00F82E48"/>
    <w:rsid w:val="00F82FA1"/>
    <w:rsid w:val="00F83042"/>
    <w:rsid w:val="00F8351F"/>
    <w:rsid w:val="00F842F9"/>
    <w:rsid w:val="00F8484C"/>
    <w:rsid w:val="00F8506D"/>
    <w:rsid w:val="00F853AD"/>
    <w:rsid w:val="00F855C9"/>
    <w:rsid w:val="00F85B68"/>
    <w:rsid w:val="00F86B9B"/>
    <w:rsid w:val="00F86D33"/>
    <w:rsid w:val="00F86D66"/>
    <w:rsid w:val="00F87816"/>
    <w:rsid w:val="00F8782A"/>
    <w:rsid w:val="00F87CC5"/>
    <w:rsid w:val="00F87DC4"/>
    <w:rsid w:val="00F9017C"/>
    <w:rsid w:val="00F90233"/>
    <w:rsid w:val="00F90549"/>
    <w:rsid w:val="00F9065A"/>
    <w:rsid w:val="00F90B85"/>
    <w:rsid w:val="00F91BA0"/>
    <w:rsid w:val="00F91CA1"/>
    <w:rsid w:val="00F92511"/>
    <w:rsid w:val="00F92FA7"/>
    <w:rsid w:val="00F938C4"/>
    <w:rsid w:val="00F93D94"/>
    <w:rsid w:val="00F93F82"/>
    <w:rsid w:val="00F9459F"/>
    <w:rsid w:val="00F945F7"/>
    <w:rsid w:val="00F94933"/>
    <w:rsid w:val="00F94E69"/>
    <w:rsid w:val="00F957E7"/>
    <w:rsid w:val="00F95A0E"/>
    <w:rsid w:val="00F9675E"/>
    <w:rsid w:val="00F96C9F"/>
    <w:rsid w:val="00F96CA1"/>
    <w:rsid w:val="00F96F1D"/>
    <w:rsid w:val="00F9703F"/>
    <w:rsid w:val="00F97721"/>
    <w:rsid w:val="00F97D8A"/>
    <w:rsid w:val="00FA0759"/>
    <w:rsid w:val="00FA0FEB"/>
    <w:rsid w:val="00FA10E6"/>
    <w:rsid w:val="00FA1656"/>
    <w:rsid w:val="00FA1C08"/>
    <w:rsid w:val="00FA2677"/>
    <w:rsid w:val="00FA3371"/>
    <w:rsid w:val="00FA3D68"/>
    <w:rsid w:val="00FA3E56"/>
    <w:rsid w:val="00FA424C"/>
    <w:rsid w:val="00FA48A1"/>
    <w:rsid w:val="00FA4DA6"/>
    <w:rsid w:val="00FA5998"/>
    <w:rsid w:val="00FA60A9"/>
    <w:rsid w:val="00FA6F6A"/>
    <w:rsid w:val="00FA7183"/>
    <w:rsid w:val="00FA7BAD"/>
    <w:rsid w:val="00FB0264"/>
    <w:rsid w:val="00FB0CD3"/>
    <w:rsid w:val="00FB177E"/>
    <w:rsid w:val="00FB1920"/>
    <w:rsid w:val="00FB1BB5"/>
    <w:rsid w:val="00FB1EFA"/>
    <w:rsid w:val="00FB2620"/>
    <w:rsid w:val="00FB2F32"/>
    <w:rsid w:val="00FB3A3A"/>
    <w:rsid w:val="00FB3F7E"/>
    <w:rsid w:val="00FB40FE"/>
    <w:rsid w:val="00FB4D06"/>
    <w:rsid w:val="00FB4EDE"/>
    <w:rsid w:val="00FB5AA5"/>
    <w:rsid w:val="00FB5D6E"/>
    <w:rsid w:val="00FB6B0B"/>
    <w:rsid w:val="00FB6EC3"/>
    <w:rsid w:val="00FB7DB8"/>
    <w:rsid w:val="00FC0B5A"/>
    <w:rsid w:val="00FC0E3C"/>
    <w:rsid w:val="00FC1491"/>
    <w:rsid w:val="00FC2F43"/>
    <w:rsid w:val="00FC2FFE"/>
    <w:rsid w:val="00FC32BC"/>
    <w:rsid w:val="00FC3924"/>
    <w:rsid w:val="00FC3E57"/>
    <w:rsid w:val="00FC494A"/>
    <w:rsid w:val="00FC497C"/>
    <w:rsid w:val="00FC4D9C"/>
    <w:rsid w:val="00FC4F51"/>
    <w:rsid w:val="00FC5581"/>
    <w:rsid w:val="00FC5718"/>
    <w:rsid w:val="00FC57E6"/>
    <w:rsid w:val="00FC5ADE"/>
    <w:rsid w:val="00FC6161"/>
    <w:rsid w:val="00FC6E81"/>
    <w:rsid w:val="00FC7A8A"/>
    <w:rsid w:val="00FC7D5F"/>
    <w:rsid w:val="00FD009A"/>
    <w:rsid w:val="00FD0334"/>
    <w:rsid w:val="00FD1146"/>
    <w:rsid w:val="00FD1D50"/>
    <w:rsid w:val="00FD259B"/>
    <w:rsid w:val="00FD2680"/>
    <w:rsid w:val="00FD2A13"/>
    <w:rsid w:val="00FD2A5F"/>
    <w:rsid w:val="00FD2D32"/>
    <w:rsid w:val="00FD3845"/>
    <w:rsid w:val="00FD3C6C"/>
    <w:rsid w:val="00FD402B"/>
    <w:rsid w:val="00FD4053"/>
    <w:rsid w:val="00FD40A8"/>
    <w:rsid w:val="00FD40AB"/>
    <w:rsid w:val="00FD46C4"/>
    <w:rsid w:val="00FD4860"/>
    <w:rsid w:val="00FD4A93"/>
    <w:rsid w:val="00FD4B7D"/>
    <w:rsid w:val="00FD5171"/>
    <w:rsid w:val="00FD529D"/>
    <w:rsid w:val="00FD556A"/>
    <w:rsid w:val="00FD5769"/>
    <w:rsid w:val="00FD59B9"/>
    <w:rsid w:val="00FD5DED"/>
    <w:rsid w:val="00FD5EDB"/>
    <w:rsid w:val="00FD6384"/>
    <w:rsid w:val="00FD64D7"/>
    <w:rsid w:val="00FD6632"/>
    <w:rsid w:val="00FD68C1"/>
    <w:rsid w:val="00FD69D6"/>
    <w:rsid w:val="00FD6AB6"/>
    <w:rsid w:val="00FD6C8D"/>
    <w:rsid w:val="00FD6CBB"/>
    <w:rsid w:val="00FD6D11"/>
    <w:rsid w:val="00FD6E81"/>
    <w:rsid w:val="00FD7E28"/>
    <w:rsid w:val="00FE01A6"/>
    <w:rsid w:val="00FE0233"/>
    <w:rsid w:val="00FE0630"/>
    <w:rsid w:val="00FE087D"/>
    <w:rsid w:val="00FE09D7"/>
    <w:rsid w:val="00FE15AD"/>
    <w:rsid w:val="00FE184A"/>
    <w:rsid w:val="00FE1F6C"/>
    <w:rsid w:val="00FE3167"/>
    <w:rsid w:val="00FE3282"/>
    <w:rsid w:val="00FE3A31"/>
    <w:rsid w:val="00FE3B9A"/>
    <w:rsid w:val="00FE3FD5"/>
    <w:rsid w:val="00FE4313"/>
    <w:rsid w:val="00FE4BFF"/>
    <w:rsid w:val="00FE4CD2"/>
    <w:rsid w:val="00FE5265"/>
    <w:rsid w:val="00FE582F"/>
    <w:rsid w:val="00FE5A40"/>
    <w:rsid w:val="00FE60E6"/>
    <w:rsid w:val="00FE6112"/>
    <w:rsid w:val="00FE65A6"/>
    <w:rsid w:val="00FE6742"/>
    <w:rsid w:val="00FE7101"/>
    <w:rsid w:val="00FE7750"/>
    <w:rsid w:val="00FE7B8C"/>
    <w:rsid w:val="00FE7C6E"/>
    <w:rsid w:val="00FF00E9"/>
    <w:rsid w:val="00FF0330"/>
    <w:rsid w:val="00FF0414"/>
    <w:rsid w:val="00FF0423"/>
    <w:rsid w:val="00FF04CA"/>
    <w:rsid w:val="00FF065F"/>
    <w:rsid w:val="00FF0C79"/>
    <w:rsid w:val="00FF167B"/>
    <w:rsid w:val="00FF211A"/>
    <w:rsid w:val="00FF2222"/>
    <w:rsid w:val="00FF25F7"/>
    <w:rsid w:val="00FF282B"/>
    <w:rsid w:val="00FF2972"/>
    <w:rsid w:val="00FF2C5D"/>
    <w:rsid w:val="00FF3DC2"/>
    <w:rsid w:val="00FF4627"/>
    <w:rsid w:val="00FF547A"/>
    <w:rsid w:val="00FF54EE"/>
    <w:rsid w:val="00FF5913"/>
    <w:rsid w:val="00FF5E96"/>
    <w:rsid w:val="00FF62C6"/>
    <w:rsid w:val="00FF6388"/>
    <w:rsid w:val="00FF649A"/>
    <w:rsid w:val="00FF68B6"/>
    <w:rsid w:val="01097B79"/>
    <w:rsid w:val="01342903"/>
    <w:rsid w:val="0137077E"/>
    <w:rsid w:val="01A625AB"/>
    <w:rsid w:val="01B72ADE"/>
    <w:rsid w:val="01C960A0"/>
    <w:rsid w:val="01CB7B3A"/>
    <w:rsid w:val="01D37172"/>
    <w:rsid w:val="01D706C2"/>
    <w:rsid w:val="01F359CB"/>
    <w:rsid w:val="01FC5420"/>
    <w:rsid w:val="01FD6C38"/>
    <w:rsid w:val="0214044A"/>
    <w:rsid w:val="02180C7E"/>
    <w:rsid w:val="02532284"/>
    <w:rsid w:val="02776BE2"/>
    <w:rsid w:val="027F799E"/>
    <w:rsid w:val="02A03C9D"/>
    <w:rsid w:val="02C95440"/>
    <w:rsid w:val="02CC171F"/>
    <w:rsid w:val="02CF68AF"/>
    <w:rsid w:val="02D358E5"/>
    <w:rsid w:val="02D56624"/>
    <w:rsid w:val="02DD06B7"/>
    <w:rsid w:val="02E127C8"/>
    <w:rsid w:val="02ED6047"/>
    <w:rsid w:val="02F77C54"/>
    <w:rsid w:val="02FE29D2"/>
    <w:rsid w:val="03364C39"/>
    <w:rsid w:val="034A5744"/>
    <w:rsid w:val="03585DA0"/>
    <w:rsid w:val="035D2D41"/>
    <w:rsid w:val="036211E3"/>
    <w:rsid w:val="0363560D"/>
    <w:rsid w:val="03824859"/>
    <w:rsid w:val="038C373E"/>
    <w:rsid w:val="038C7569"/>
    <w:rsid w:val="03963ABA"/>
    <w:rsid w:val="039D7017"/>
    <w:rsid w:val="03AE3C83"/>
    <w:rsid w:val="03BD15D0"/>
    <w:rsid w:val="03C439D8"/>
    <w:rsid w:val="03C71830"/>
    <w:rsid w:val="03EC6A64"/>
    <w:rsid w:val="03F04E00"/>
    <w:rsid w:val="04095F8D"/>
    <w:rsid w:val="04597A82"/>
    <w:rsid w:val="04796D38"/>
    <w:rsid w:val="04877F4F"/>
    <w:rsid w:val="04886BA4"/>
    <w:rsid w:val="04916893"/>
    <w:rsid w:val="04934D6A"/>
    <w:rsid w:val="04AB3ACC"/>
    <w:rsid w:val="04B41056"/>
    <w:rsid w:val="04B4790D"/>
    <w:rsid w:val="04BF71D4"/>
    <w:rsid w:val="04C26740"/>
    <w:rsid w:val="050E4D14"/>
    <w:rsid w:val="050E735A"/>
    <w:rsid w:val="0517575E"/>
    <w:rsid w:val="051A6227"/>
    <w:rsid w:val="051E617D"/>
    <w:rsid w:val="0529107D"/>
    <w:rsid w:val="05546B72"/>
    <w:rsid w:val="0559372E"/>
    <w:rsid w:val="056D51B2"/>
    <w:rsid w:val="05744540"/>
    <w:rsid w:val="057D53E6"/>
    <w:rsid w:val="05807ACB"/>
    <w:rsid w:val="05823857"/>
    <w:rsid w:val="059748DE"/>
    <w:rsid w:val="05A44ECC"/>
    <w:rsid w:val="05B54980"/>
    <w:rsid w:val="05C13974"/>
    <w:rsid w:val="05C65A08"/>
    <w:rsid w:val="05C86FFC"/>
    <w:rsid w:val="05E43321"/>
    <w:rsid w:val="05EE2C1D"/>
    <w:rsid w:val="05F466EA"/>
    <w:rsid w:val="05FC512E"/>
    <w:rsid w:val="06024E45"/>
    <w:rsid w:val="06120385"/>
    <w:rsid w:val="061D06DC"/>
    <w:rsid w:val="062F0F2B"/>
    <w:rsid w:val="06327C70"/>
    <w:rsid w:val="0637555E"/>
    <w:rsid w:val="064F62FE"/>
    <w:rsid w:val="065300F1"/>
    <w:rsid w:val="06616908"/>
    <w:rsid w:val="06792E74"/>
    <w:rsid w:val="067E5E2F"/>
    <w:rsid w:val="06816C78"/>
    <w:rsid w:val="06890293"/>
    <w:rsid w:val="06994ED8"/>
    <w:rsid w:val="069A2A02"/>
    <w:rsid w:val="06AA6C8B"/>
    <w:rsid w:val="06B35B88"/>
    <w:rsid w:val="06BB4AD0"/>
    <w:rsid w:val="06BE3393"/>
    <w:rsid w:val="06CB4160"/>
    <w:rsid w:val="06DB3915"/>
    <w:rsid w:val="06F8712F"/>
    <w:rsid w:val="07096A6A"/>
    <w:rsid w:val="07201331"/>
    <w:rsid w:val="07366F15"/>
    <w:rsid w:val="075E291E"/>
    <w:rsid w:val="077C323D"/>
    <w:rsid w:val="079A79E3"/>
    <w:rsid w:val="079E5FC9"/>
    <w:rsid w:val="07A36A8F"/>
    <w:rsid w:val="07B9146B"/>
    <w:rsid w:val="07D735F7"/>
    <w:rsid w:val="07D85670"/>
    <w:rsid w:val="07DD5954"/>
    <w:rsid w:val="07F43213"/>
    <w:rsid w:val="07F6630D"/>
    <w:rsid w:val="08064E1D"/>
    <w:rsid w:val="083E693B"/>
    <w:rsid w:val="085242F8"/>
    <w:rsid w:val="0853129E"/>
    <w:rsid w:val="085827EC"/>
    <w:rsid w:val="085F6204"/>
    <w:rsid w:val="08644B70"/>
    <w:rsid w:val="086D6B12"/>
    <w:rsid w:val="08730321"/>
    <w:rsid w:val="0876712B"/>
    <w:rsid w:val="0883315A"/>
    <w:rsid w:val="08873A47"/>
    <w:rsid w:val="08B22272"/>
    <w:rsid w:val="08B63F39"/>
    <w:rsid w:val="08BC189C"/>
    <w:rsid w:val="08C4347C"/>
    <w:rsid w:val="08CA2372"/>
    <w:rsid w:val="08D27052"/>
    <w:rsid w:val="08FA0FEF"/>
    <w:rsid w:val="09027A10"/>
    <w:rsid w:val="091075FA"/>
    <w:rsid w:val="091F0997"/>
    <w:rsid w:val="09364165"/>
    <w:rsid w:val="095954D7"/>
    <w:rsid w:val="095E086F"/>
    <w:rsid w:val="0970598A"/>
    <w:rsid w:val="09781144"/>
    <w:rsid w:val="09887789"/>
    <w:rsid w:val="09B50AD7"/>
    <w:rsid w:val="09B90010"/>
    <w:rsid w:val="0A1A2592"/>
    <w:rsid w:val="0A274830"/>
    <w:rsid w:val="0A362471"/>
    <w:rsid w:val="0A3B451B"/>
    <w:rsid w:val="0A432CAB"/>
    <w:rsid w:val="0A4B4837"/>
    <w:rsid w:val="0A5821F3"/>
    <w:rsid w:val="0A702FB0"/>
    <w:rsid w:val="0A907698"/>
    <w:rsid w:val="0AA578ED"/>
    <w:rsid w:val="0AB03C77"/>
    <w:rsid w:val="0AB221EC"/>
    <w:rsid w:val="0AB87C7B"/>
    <w:rsid w:val="0AC250B1"/>
    <w:rsid w:val="0AD20D0D"/>
    <w:rsid w:val="0ADA4FAF"/>
    <w:rsid w:val="0AF278F9"/>
    <w:rsid w:val="0B201A50"/>
    <w:rsid w:val="0B52613C"/>
    <w:rsid w:val="0B5B6073"/>
    <w:rsid w:val="0B6C6569"/>
    <w:rsid w:val="0B71221C"/>
    <w:rsid w:val="0B7B0FB9"/>
    <w:rsid w:val="0B7F178F"/>
    <w:rsid w:val="0B916CD0"/>
    <w:rsid w:val="0BA157E0"/>
    <w:rsid w:val="0BAA5CA2"/>
    <w:rsid w:val="0BAB7E89"/>
    <w:rsid w:val="0BD03300"/>
    <w:rsid w:val="0BD0687F"/>
    <w:rsid w:val="0BE81026"/>
    <w:rsid w:val="0C0E082E"/>
    <w:rsid w:val="0C5267CD"/>
    <w:rsid w:val="0C5705EF"/>
    <w:rsid w:val="0C6874A9"/>
    <w:rsid w:val="0C7249B2"/>
    <w:rsid w:val="0C782A46"/>
    <w:rsid w:val="0C8778C5"/>
    <w:rsid w:val="0C96436E"/>
    <w:rsid w:val="0CAB65E7"/>
    <w:rsid w:val="0CAE3F8B"/>
    <w:rsid w:val="0CC41EE7"/>
    <w:rsid w:val="0CC71862"/>
    <w:rsid w:val="0CDC016B"/>
    <w:rsid w:val="0CDD0434"/>
    <w:rsid w:val="0CDF4BDD"/>
    <w:rsid w:val="0D1057E7"/>
    <w:rsid w:val="0D236E25"/>
    <w:rsid w:val="0D360803"/>
    <w:rsid w:val="0D3F7F5D"/>
    <w:rsid w:val="0D542184"/>
    <w:rsid w:val="0D5A0AB8"/>
    <w:rsid w:val="0D5C1FB6"/>
    <w:rsid w:val="0D697AE2"/>
    <w:rsid w:val="0D8C7158"/>
    <w:rsid w:val="0D8D7D5B"/>
    <w:rsid w:val="0D9720FC"/>
    <w:rsid w:val="0DA03F0C"/>
    <w:rsid w:val="0DA27C4A"/>
    <w:rsid w:val="0DAA40BE"/>
    <w:rsid w:val="0DB40520"/>
    <w:rsid w:val="0DBB7D75"/>
    <w:rsid w:val="0DE864CF"/>
    <w:rsid w:val="0DEB1C39"/>
    <w:rsid w:val="0DEE139E"/>
    <w:rsid w:val="0DF66254"/>
    <w:rsid w:val="0DFD107F"/>
    <w:rsid w:val="0E0811F0"/>
    <w:rsid w:val="0E091DAC"/>
    <w:rsid w:val="0E2735FD"/>
    <w:rsid w:val="0E665E92"/>
    <w:rsid w:val="0E753856"/>
    <w:rsid w:val="0E8575A6"/>
    <w:rsid w:val="0E85774E"/>
    <w:rsid w:val="0E996540"/>
    <w:rsid w:val="0EA77F3C"/>
    <w:rsid w:val="0EAE6781"/>
    <w:rsid w:val="0EAF1EF0"/>
    <w:rsid w:val="0EB43D1A"/>
    <w:rsid w:val="0EBC76C4"/>
    <w:rsid w:val="0EDC1F41"/>
    <w:rsid w:val="0EED213A"/>
    <w:rsid w:val="0F03493E"/>
    <w:rsid w:val="0F090260"/>
    <w:rsid w:val="0F3635F3"/>
    <w:rsid w:val="0F7A75AE"/>
    <w:rsid w:val="0F881AD4"/>
    <w:rsid w:val="0F8C662B"/>
    <w:rsid w:val="0F9C6413"/>
    <w:rsid w:val="0FA059CA"/>
    <w:rsid w:val="0FA743F4"/>
    <w:rsid w:val="0FB23173"/>
    <w:rsid w:val="0FB33AF6"/>
    <w:rsid w:val="0FB5541F"/>
    <w:rsid w:val="0FD07B85"/>
    <w:rsid w:val="100952E4"/>
    <w:rsid w:val="100B7EEA"/>
    <w:rsid w:val="100F1B9C"/>
    <w:rsid w:val="10205F68"/>
    <w:rsid w:val="102E54F6"/>
    <w:rsid w:val="10313CCC"/>
    <w:rsid w:val="10434DAD"/>
    <w:rsid w:val="10464767"/>
    <w:rsid w:val="108A323A"/>
    <w:rsid w:val="10B023C0"/>
    <w:rsid w:val="10BB3C21"/>
    <w:rsid w:val="11252103"/>
    <w:rsid w:val="11284932"/>
    <w:rsid w:val="11476D6F"/>
    <w:rsid w:val="11645891"/>
    <w:rsid w:val="116F702A"/>
    <w:rsid w:val="116F7EBA"/>
    <w:rsid w:val="11733B3A"/>
    <w:rsid w:val="11842B6D"/>
    <w:rsid w:val="11A61B83"/>
    <w:rsid w:val="11AA7CE5"/>
    <w:rsid w:val="11BD73E7"/>
    <w:rsid w:val="11C37AF8"/>
    <w:rsid w:val="11C61C52"/>
    <w:rsid w:val="11D04EBA"/>
    <w:rsid w:val="11D521F7"/>
    <w:rsid w:val="11DA169D"/>
    <w:rsid w:val="11FB1AFA"/>
    <w:rsid w:val="1203698F"/>
    <w:rsid w:val="12092999"/>
    <w:rsid w:val="120D5C80"/>
    <w:rsid w:val="120F0AB5"/>
    <w:rsid w:val="121424C3"/>
    <w:rsid w:val="12230A25"/>
    <w:rsid w:val="12446061"/>
    <w:rsid w:val="124D19A0"/>
    <w:rsid w:val="12607F28"/>
    <w:rsid w:val="126747C7"/>
    <w:rsid w:val="127B0FBC"/>
    <w:rsid w:val="128E5888"/>
    <w:rsid w:val="12947380"/>
    <w:rsid w:val="12D31D8F"/>
    <w:rsid w:val="12E93E96"/>
    <w:rsid w:val="12FF7778"/>
    <w:rsid w:val="134C0F84"/>
    <w:rsid w:val="135D4CFC"/>
    <w:rsid w:val="136524E8"/>
    <w:rsid w:val="13652D77"/>
    <w:rsid w:val="137B2853"/>
    <w:rsid w:val="13807929"/>
    <w:rsid w:val="13C04B96"/>
    <w:rsid w:val="13F80330"/>
    <w:rsid w:val="13FA392F"/>
    <w:rsid w:val="14217DA6"/>
    <w:rsid w:val="142450EE"/>
    <w:rsid w:val="142626F1"/>
    <w:rsid w:val="14281EF4"/>
    <w:rsid w:val="14355F11"/>
    <w:rsid w:val="143B4DEB"/>
    <w:rsid w:val="1447571F"/>
    <w:rsid w:val="14583EBC"/>
    <w:rsid w:val="145E35A6"/>
    <w:rsid w:val="146A1F1B"/>
    <w:rsid w:val="14743311"/>
    <w:rsid w:val="148058A7"/>
    <w:rsid w:val="14920802"/>
    <w:rsid w:val="149D4212"/>
    <w:rsid w:val="14A80E58"/>
    <w:rsid w:val="14B9000E"/>
    <w:rsid w:val="14C015BB"/>
    <w:rsid w:val="14C1461A"/>
    <w:rsid w:val="14C342FB"/>
    <w:rsid w:val="14CB7D7D"/>
    <w:rsid w:val="14CD4882"/>
    <w:rsid w:val="14CF4894"/>
    <w:rsid w:val="14D11E12"/>
    <w:rsid w:val="14F66DC2"/>
    <w:rsid w:val="14FA09BB"/>
    <w:rsid w:val="150807E9"/>
    <w:rsid w:val="153A13BA"/>
    <w:rsid w:val="153B3F62"/>
    <w:rsid w:val="156B4B02"/>
    <w:rsid w:val="157416CF"/>
    <w:rsid w:val="157E217F"/>
    <w:rsid w:val="158803B7"/>
    <w:rsid w:val="159B3128"/>
    <w:rsid w:val="159E5BE6"/>
    <w:rsid w:val="15B85C2C"/>
    <w:rsid w:val="15C25AB2"/>
    <w:rsid w:val="15CD07CB"/>
    <w:rsid w:val="15DB7892"/>
    <w:rsid w:val="16051D7A"/>
    <w:rsid w:val="160A50CA"/>
    <w:rsid w:val="160D5E6A"/>
    <w:rsid w:val="16143CEB"/>
    <w:rsid w:val="162074D6"/>
    <w:rsid w:val="163059FD"/>
    <w:rsid w:val="164D0A2F"/>
    <w:rsid w:val="16846C3B"/>
    <w:rsid w:val="168C75B2"/>
    <w:rsid w:val="16902FF3"/>
    <w:rsid w:val="16927796"/>
    <w:rsid w:val="169A45C7"/>
    <w:rsid w:val="16B8567C"/>
    <w:rsid w:val="16C12F4B"/>
    <w:rsid w:val="16C13E3E"/>
    <w:rsid w:val="172436D6"/>
    <w:rsid w:val="1729416D"/>
    <w:rsid w:val="1734715C"/>
    <w:rsid w:val="17496C17"/>
    <w:rsid w:val="176957FD"/>
    <w:rsid w:val="176A0E26"/>
    <w:rsid w:val="176B319B"/>
    <w:rsid w:val="179B0511"/>
    <w:rsid w:val="17A03ED2"/>
    <w:rsid w:val="17A7326B"/>
    <w:rsid w:val="17A74DE2"/>
    <w:rsid w:val="17BD2B56"/>
    <w:rsid w:val="17C03FA8"/>
    <w:rsid w:val="17C32F16"/>
    <w:rsid w:val="17C35564"/>
    <w:rsid w:val="17D92497"/>
    <w:rsid w:val="18105A34"/>
    <w:rsid w:val="18215292"/>
    <w:rsid w:val="184B14BB"/>
    <w:rsid w:val="18572966"/>
    <w:rsid w:val="188A1BFB"/>
    <w:rsid w:val="18923DCD"/>
    <w:rsid w:val="189B5E4A"/>
    <w:rsid w:val="18A3257C"/>
    <w:rsid w:val="18A91672"/>
    <w:rsid w:val="18C468AC"/>
    <w:rsid w:val="18E02A66"/>
    <w:rsid w:val="18F23557"/>
    <w:rsid w:val="18F67A50"/>
    <w:rsid w:val="19091128"/>
    <w:rsid w:val="19225CD0"/>
    <w:rsid w:val="1924539C"/>
    <w:rsid w:val="19254EA9"/>
    <w:rsid w:val="19355BCE"/>
    <w:rsid w:val="195640D0"/>
    <w:rsid w:val="195C1F0C"/>
    <w:rsid w:val="19711559"/>
    <w:rsid w:val="19742A0A"/>
    <w:rsid w:val="19783C6C"/>
    <w:rsid w:val="19865B44"/>
    <w:rsid w:val="198E50F6"/>
    <w:rsid w:val="19A90731"/>
    <w:rsid w:val="19AB6B6B"/>
    <w:rsid w:val="19BA0578"/>
    <w:rsid w:val="19CA31AD"/>
    <w:rsid w:val="19D419FA"/>
    <w:rsid w:val="19DB60D7"/>
    <w:rsid w:val="19EE380A"/>
    <w:rsid w:val="19F43B2B"/>
    <w:rsid w:val="19F73DCE"/>
    <w:rsid w:val="19F86FAC"/>
    <w:rsid w:val="19FA309B"/>
    <w:rsid w:val="1A01241D"/>
    <w:rsid w:val="1A0C1BB5"/>
    <w:rsid w:val="1A1720E3"/>
    <w:rsid w:val="1A180CB3"/>
    <w:rsid w:val="1A2631DF"/>
    <w:rsid w:val="1A2B6B53"/>
    <w:rsid w:val="1A506DE5"/>
    <w:rsid w:val="1A6828D6"/>
    <w:rsid w:val="1A7807BF"/>
    <w:rsid w:val="1A8E5FAA"/>
    <w:rsid w:val="1A9F3FB0"/>
    <w:rsid w:val="1A9F7E01"/>
    <w:rsid w:val="1AAC2222"/>
    <w:rsid w:val="1AC62CDF"/>
    <w:rsid w:val="1ACF410A"/>
    <w:rsid w:val="1ADB70E5"/>
    <w:rsid w:val="1ADD0C85"/>
    <w:rsid w:val="1AFA25F1"/>
    <w:rsid w:val="1B000A6F"/>
    <w:rsid w:val="1B203AC6"/>
    <w:rsid w:val="1B4543CD"/>
    <w:rsid w:val="1B49021B"/>
    <w:rsid w:val="1B787413"/>
    <w:rsid w:val="1B8A60CF"/>
    <w:rsid w:val="1B933EB4"/>
    <w:rsid w:val="1B940146"/>
    <w:rsid w:val="1BC2672F"/>
    <w:rsid w:val="1BFA4187"/>
    <w:rsid w:val="1C0B7892"/>
    <w:rsid w:val="1C2B56F6"/>
    <w:rsid w:val="1C2F3CAF"/>
    <w:rsid w:val="1C3B5F1F"/>
    <w:rsid w:val="1C59646C"/>
    <w:rsid w:val="1C6C5F79"/>
    <w:rsid w:val="1C902289"/>
    <w:rsid w:val="1CA06DF2"/>
    <w:rsid w:val="1CB239EB"/>
    <w:rsid w:val="1CEA43EF"/>
    <w:rsid w:val="1D1000E6"/>
    <w:rsid w:val="1D1134BA"/>
    <w:rsid w:val="1D253A81"/>
    <w:rsid w:val="1D2C0953"/>
    <w:rsid w:val="1D475D11"/>
    <w:rsid w:val="1D63134D"/>
    <w:rsid w:val="1D6A5B9D"/>
    <w:rsid w:val="1D7A000E"/>
    <w:rsid w:val="1D8111F9"/>
    <w:rsid w:val="1D875ADE"/>
    <w:rsid w:val="1D9C2B50"/>
    <w:rsid w:val="1DBB66CA"/>
    <w:rsid w:val="1DBD1F1B"/>
    <w:rsid w:val="1DC2479B"/>
    <w:rsid w:val="1DCA1810"/>
    <w:rsid w:val="1DD47BD8"/>
    <w:rsid w:val="1DF37FBA"/>
    <w:rsid w:val="1DF468D5"/>
    <w:rsid w:val="1E0D76CE"/>
    <w:rsid w:val="1E1C0B92"/>
    <w:rsid w:val="1E1E3996"/>
    <w:rsid w:val="1E2D6297"/>
    <w:rsid w:val="1E3572B4"/>
    <w:rsid w:val="1E474F60"/>
    <w:rsid w:val="1E5970A5"/>
    <w:rsid w:val="1E7A497B"/>
    <w:rsid w:val="1E7B2797"/>
    <w:rsid w:val="1E7E5E73"/>
    <w:rsid w:val="1E85353B"/>
    <w:rsid w:val="1E9364BB"/>
    <w:rsid w:val="1EA436CE"/>
    <w:rsid w:val="1EAF0501"/>
    <w:rsid w:val="1EE46FEC"/>
    <w:rsid w:val="1EE605EB"/>
    <w:rsid w:val="1EE92462"/>
    <w:rsid w:val="1EF569C7"/>
    <w:rsid w:val="1EF8002C"/>
    <w:rsid w:val="1EFB72D5"/>
    <w:rsid w:val="1F026342"/>
    <w:rsid w:val="1F2227F3"/>
    <w:rsid w:val="1F23773A"/>
    <w:rsid w:val="1F2A3BCC"/>
    <w:rsid w:val="1F3861FE"/>
    <w:rsid w:val="1F5E36EA"/>
    <w:rsid w:val="1F73409D"/>
    <w:rsid w:val="1F9B4FB8"/>
    <w:rsid w:val="1FC542A0"/>
    <w:rsid w:val="1FCC3186"/>
    <w:rsid w:val="1FCE7D89"/>
    <w:rsid w:val="1FE22505"/>
    <w:rsid w:val="1FF45730"/>
    <w:rsid w:val="202B1AC3"/>
    <w:rsid w:val="202B6A99"/>
    <w:rsid w:val="205261CF"/>
    <w:rsid w:val="207F00D8"/>
    <w:rsid w:val="208A1DE8"/>
    <w:rsid w:val="208E0D39"/>
    <w:rsid w:val="20A70BCE"/>
    <w:rsid w:val="20BA36D0"/>
    <w:rsid w:val="20CE57FA"/>
    <w:rsid w:val="20D95E48"/>
    <w:rsid w:val="20E53EFA"/>
    <w:rsid w:val="21173242"/>
    <w:rsid w:val="21352B51"/>
    <w:rsid w:val="213C3273"/>
    <w:rsid w:val="21454CC2"/>
    <w:rsid w:val="2152721B"/>
    <w:rsid w:val="21670D4B"/>
    <w:rsid w:val="21A91226"/>
    <w:rsid w:val="21B579A2"/>
    <w:rsid w:val="21E21841"/>
    <w:rsid w:val="21ED08E4"/>
    <w:rsid w:val="21FE7EEB"/>
    <w:rsid w:val="220E3A49"/>
    <w:rsid w:val="222801FB"/>
    <w:rsid w:val="222E18B2"/>
    <w:rsid w:val="225706FB"/>
    <w:rsid w:val="225F3FF8"/>
    <w:rsid w:val="226A31BA"/>
    <w:rsid w:val="227D4D49"/>
    <w:rsid w:val="2294579D"/>
    <w:rsid w:val="22A35436"/>
    <w:rsid w:val="22AB53C7"/>
    <w:rsid w:val="22AD271D"/>
    <w:rsid w:val="22B06506"/>
    <w:rsid w:val="22C20A38"/>
    <w:rsid w:val="22D22603"/>
    <w:rsid w:val="22E86E4B"/>
    <w:rsid w:val="22F10DE7"/>
    <w:rsid w:val="22FA4E28"/>
    <w:rsid w:val="22FC1CB6"/>
    <w:rsid w:val="23142C85"/>
    <w:rsid w:val="231A36C1"/>
    <w:rsid w:val="23366BAB"/>
    <w:rsid w:val="233823D2"/>
    <w:rsid w:val="23515F90"/>
    <w:rsid w:val="237C7B45"/>
    <w:rsid w:val="238409AA"/>
    <w:rsid w:val="23AF75DB"/>
    <w:rsid w:val="23B77EDE"/>
    <w:rsid w:val="23C120F8"/>
    <w:rsid w:val="23C72534"/>
    <w:rsid w:val="23DA0859"/>
    <w:rsid w:val="23EC4586"/>
    <w:rsid w:val="23EC723A"/>
    <w:rsid w:val="240B79B3"/>
    <w:rsid w:val="241E1F43"/>
    <w:rsid w:val="2423375B"/>
    <w:rsid w:val="242D5D5E"/>
    <w:rsid w:val="24312306"/>
    <w:rsid w:val="2450348F"/>
    <w:rsid w:val="24536634"/>
    <w:rsid w:val="246D1F6F"/>
    <w:rsid w:val="247A4E6C"/>
    <w:rsid w:val="248C6643"/>
    <w:rsid w:val="249B2D85"/>
    <w:rsid w:val="249F7326"/>
    <w:rsid w:val="24A5341B"/>
    <w:rsid w:val="24B86D3E"/>
    <w:rsid w:val="24BC7835"/>
    <w:rsid w:val="24C73F69"/>
    <w:rsid w:val="24C92C1F"/>
    <w:rsid w:val="24D014B5"/>
    <w:rsid w:val="24E32969"/>
    <w:rsid w:val="24F12BDB"/>
    <w:rsid w:val="250F48CD"/>
    <w:rsid w:val="25157097"/>
    <w:rsid w:val="255B3F3F"/>
    <w:rsid w:val="257F5599"/>
    <w:rsid w:val="259340F6"/>
    <w:rsid w:val="25985368"/>
    <w:rsid w:val="2599228C"/>
    <w:rsid w:val="25A55F54"/>
    <w:rsid w:val="25AC1221"/>
    <w:rsid w:val="25AD703B"/>
    <w:rsid w:val="25AF1AF0"/>
    <w:rsid w:val="25D96FC7"/>
    <w:rsid w:val="25DE587E"/>
    <w:rsid w:val="25F13F59"/>
    <w:rsid w:val="25FA4937"/>
    <w:rsid w:val="26285466"/>
    <w:rsid w:val="264B4071"/>
    <w:rsid w:val="265F2AF3"/>
    <w:rsid w:val="266243F1"/>
    <w:rsid w:val="26656478"/>
    <w:rsid w:val="266C2A3A"/>
    <w:rsid w:val="26726B5F"/>
    <w:rsid w:val="267F26B2"/>
    <w:rsid w:val="269373D9"/>
    <w:rsid w:val="269B38E3"/>
    <w:rsid w:val="26A03988"/>
    <w:rsid w:val="26B27FDA"/>
    <w:rsid w:val="26B36725"/>
    <w:rsid w:val="26B4286F"/>
    <w:rsid w:val="26B66486"/>
    <w:rsid w:val="26BA635B"/>
    <w:rsid w:val="26BB72CE"/>
    <w:rsid w:val="26C55004"/>
    <w:rsid w:val="26D20DE7"/>
    <w:rsid w:val="26EF07BB"/>
    <w:rsid w:val="2700590E"/>
    <w:rsid w:val="27023A81"/>
    <w:rsid w:val="27063945"/>
    <w:rsid w:val="271105DD"/>
    <w:rsid w:val="271E0AD9"/>
    <w:rsid w:val="271E2548"/>
    <w:rsid w:val="272210FA"/>
    <w:rsid w:val="272D268B"/>
    <w:rsid w:val="27630ECE"/>
    <w:rsid w:val="27845588"/>
    <w:rsid w:val="278732D8"/>
    <w:rsid w:val="27BD3FAC"/>
    <w:rsid w:val="27BE4DD0"/>
    <w:rsid w:val="27C86A82"/>
    <w:rsid w:val="27D37927"/>
    <w:rsid w:val="27DD2FAC"/>
    <w:rsid w:val="27F24799"/>
    <w:rsid w:val="280C08E3"/>
    <w:rsid w:val="280E60FA"/>
    <w:rsid w:val="28114E6E"/>
    <w:rsid w:val="28117400"/>
    <w:rsid w:val="28285496"/>
    <w:rsid w:val="28315327"/>
    <w:rsid w:val="284D6D28"/>
    <w:rsid w:val="28651878"/>
    <w:rsid w:val="2878737A"/>
    <w:rsid w:val="28840A8D"/>
    <w:rsid w:val="28840E09"/>
    <w:rsid w:val="289F3242"/>
    <w:rsid w:val="28B03D65"/>
    <w:rsid w:val="28B57353"/>
    <w:rsid w:val="28B67F4E"/>
    <w:rsid w:val="28F60946"/>
    <w:rsid w:val="29131F0A"/>
    <w:rsid w:val="292210FF"/>
    <w:rsid w:val="293D465D"/>
    <w:rsid w:val="293F552F"/>
    <w:rsid w:val="29442E5E"/>
    <w:rsid w:val="29557CC0"/>
    <w:rsid w:val="29671702"/>
    <w:rsid w:val="296738AA"/>
    <w:rsid w:val="29741864"/>
    <w:rsid w:val="29C942A8"/>
    <w:rsid w:val="29D82A4D"/>
    <w:rsid w:val="29E60727"/>
    <w:rsid w:val="29E907C2"/>
    <w:rsid w:val="29EC1D7B"/>
    <w:rsid w:val="29F67CF2"/>
    <w:rsid w:val="29FB777B"/>
    <w:rsid w:val="2A064840"/>
    <w:rsid w:val="2A120188"/>
    <w:rsid w:val="2A320B9A"/>
    <w:rsid w:val="2A34580C"/>
    <w:rsid w:val="2A42363D"/>
    <w:rsid w:val="2A584C16"/>
    <w:rsid w:val="2A783D93"/>
    <w:rsid w:val="2A7913F8"/>
    <w:rsid w:val="2A9C57B8"/>
    <w:rsid w:val="2AA76D25"/>
    <w:rsid w:val="2AAD284E"/>
    <w:rsid w:val="2AF32CB8"/>
    <w:rsid w:val="2AF806BD"/>
    <w:rsid w:val="2B232415"/>
    <w:rsid w:val="2B3873BA"/>
    <w:rsid w:val="2B4E4BA3"/>
    <w:rsid w:val="2B540D0F"/>
    <w:rsid w:val="2B697D9A"/>
    <w:rsid w:val="2B732A8D"/>
    <w:rsid w:val="2B7C591E"/>
    <w:rsid w:val="2B80024D"/>
    <w:rsid w:val="2B9022FF"/>
    <w:rsid w:val="2B954CAE"/>
    <w:rsid w:val="2B984948"/>
    <w:rsid w:val="2B9F1671"/>
    <w:rsid w:val="2BB31A46"/>
    <w:rsid w:val="2BB557C7"/>
    <w:rsid w:val="2BBF6949"/>
    <w:rsid w:val="2BCD1923"/>
    <w:rsid w:val="2BDD2D68"/>
    <w:rsid w:val="2C052A87"/>
    <w:rsid w:val="2C070FE8"/>
    <w:rsid w:val="2C4D3249"/>
    <w:rsid w:val="2C6D73DF"/>
    <w:rsid w:val="2C751737"/>
    <w:rsid w:val="2C813E03"/>
    <w:rsid w:val="2C89295F"/>
    <w:rsid w:val="2C95210E"/>
    <w:rsid w:val="2CA61113"/>
    <w:rsid w:val="2CAD3624"/>
    <w:rsid w:val="2CB62C03"/>
    <w:rsid w:val="2CBC042B"/>
    <w:rsid w:val="2CBC3313"/>
    <w:rsid w:val="2CC95BEE"/>
    <w:rsid w:val="2CD6694B"/>
    <w:rsid w:val="2CD7280A"/>
    <w:rsid w:val="2CEE5A73"/>
    <w:rsid w:val="2D027874"/>
    <w:rsid w:val="2D063FE2"/>
    <w:rsid w:val="2D1F7442"/>
    <w:rsid w:val="2D215F55"/>
    <w:rsid w:val="2D3F6E46"/>
    <w:rsid w:val="2D577161"/>
    <w:rsid w:val="2D5D6FD4"/>
    <w:rsid w:val="2D602562"/>
    <w:rsid w:val="2D627E50"/>
    <w:rsid w:val="2D753097"/>
    <w:rsid w:val="2D7F161A"/>
    <w:rsid w:val="2D9333B4"/>
    <w:rsid w:val="2D9D4CF4"/>
    <w:rsid w:val="2DBA4734"/>
    <w:rsid w:val="2DBB0976"/>
    <w:rsid w:val="2DD3503C"/>
    <w:rsid w:val="2DDA3075"/>
    <w:rsid w:val="2DF135C9"/>
    <w:rsid w:val="2DFB038B"/>
    <w:rsid w:val="2E2C7D21"/>
    <w:rsid w:val="2E322F72"/>
    <w:rsid w:val="2E373A1B"/>
    <w:rsid w:val="2E3D469A"/>
    <w:rsid w:val="2E5F21DD"/>
    <w:rsid w:val="2E5F65B8"/>
    <w:rsid w:val="2E6B525A"/>
    <w:rsid w:val="2E6E124B"/>
    <w:rsid w:val="2E9546A2"/>
    <w:rsid w:val="2EA24A03"/>
    <w:rsid w:val="2EC26A96"/>
    <w:rsid w:val="2EE34488"/>
    <w:rsid w:val="2EE950C8"/>
    <w:rsid w:val="2EFF0FD8"/>
    <w:rsid w:val="2F0E64CF"/>
    <w:rsid w:val="2F112658"/>
    <w:rsid w:val="2F162EA4"/>
    <w:rsid w:val="2F17146B"/>
    <w:rsid w:val="2F190463"/>
    <w:rsid w:val="2F1A1B42"/>
    <w:rsid w:val="2F1B256F"/>
    <w:rsid w:val="2F2B12E9"/>
    <w:rsid w:val="2F431078"/>
    <w:rsid w:val="2F511EA6"/>
    <w:rsid w:val="2F534C00"/>
    <w:rsid w:val="2F7A3CBF"/>
    <w:rsid w:val="2F866662"/>
    <w:rsid w:val="2F953EB4"/>
    <w:rsid w:val="2F990058"/>
    <w:rsid w:val="2FD4081B"/>
    <w:rsid w:val="2FD763B2"/>
    <w:rsid w:val="2FE42214"/>
    <w:rsid w:val="301C50A4"/>
    <w:rsid w:val="30207EA6"/>
    <w:rsid w:val="30277D1C"/>
    <w:rsid w:val="30372959"/>
    <w:rsid w:val="303C114F"/>
    <w:rsid w:val="303E53DD"/>
    <w:rsid w:val="30476F70"/>
    <w:rsid w:val="304C7BB2"/>
    <w:rsid w:val="30565A9C"/>
    <w:rsid w:val="305B4F44"/>
    <w:rsid w:val="30603279"/>
    <w:rsid w:val="306802C6"/>
    <w:rsid w:val="3070005D"/>
    <w:rsid w:val="30863F97"/>
    <w:rsid w:val="30A90346"/>
    <w:rsid w:val="30B47367"/>
    <w:rsid w:val="30ED1F7A"/>
    <w:rsid w:val="30FC69B6"/>
    <w:rsid w:val="30FF104A"/>
    <w:rsid w:val="31073B12"/>
    <w:rsid w:val="311127BC"/>
    <w:rsid w:val="311355CC"/>
    <w:rsid w:val="31226D9B"/>
    <w:rsid w:val="31277CE2"/>
    <w:rsid w:val="3141517A"/>
    <w:rsid w:val="314E6CBC"/>
    <w:rsid w:val="31792812"/>
    <w:rsid w:val="317E08FF"/>
    <w:rsid w:val="318A710A"/>
    <w:rsid w:val="319161B5"/>
    <w:rsid w:val="31A50DC8"/>
    <w:rsid w:val="31B94721"/>
    <w:rsid w:val="31D515B8"/>
    <w:rsid w:val="31D54793"/>
    <w:rsid w:val="31E45E5E"/>
    <w:rsid w:val="32244A82"/>
    <w:rsid w:val="324C1FCD"/>
    <w:rsid w:val="325B5792"/>
    <w:rsid w:val="32744109"/>
    <w:rsid w:val="32787D25"/>
    <w:rsid w:val="32801CB6"/>
    <w:rsid w:val="328822B7"/>
    <w:rsid w:val="3289032A"/>
    <w:rsid w:val="32961D61"/>
    <w:rsid w:val="32AE59DD"/>
    <w:rsid w:val="32D332E0"/>
    <w:rsid w:val="32EB0D89"/>
    <w:rsid w:val="32F07795"/>
    <w:rsid w:val="32F6137C"/>
    <w:rsid w:val="32F87249"/>
    <w:rsid w:val="32FE2BF5"/>
    <w:rsid w:val="33115E0F"/>
    <w:rsid w:val="331942F6"/>
    <w:rsid w:val="33273832"/>
    <w:rsid w:val="33333133"/>
    <w:rsid w:val="3358084B"/>
    <w:rsid w:val="337C4783"/>
    <w:rsid w:val="33923D21"/>
    <w:rsid w:val="33B81962"/>
    <w:rsid w:val="33B82D15"/>
    <w:rsid w:val="33C11EAD"/>
    <w:rsid w:val="33CE0CC3"/>
    <w:rsid w:val="33D23A93"/>
    <w:rsid w:val="33D73933"/>
    <w:rsid w:val="33D748C6"/>
    <w:rsid w:val="33D9052A"/>
    <w:rsid w:val="33DA3519"/>
    <w:rsid w:val="33E42967"/>
    <w:rsid w:val="33F2287E"/>
    <w:rsid w:val="33F57067"/>
    <w:rsid w:val="342E628A"/>
    <w:rsid w:val="34364EAB"/>
    <w:rsid w:val="343C7C22"/>
    <w:rsid w:val="34455592"/>
    <w:rsid w:val="34464E1A"/>
    <w:rsid w:val="3455441A"/>
    <w:rsid w:val="34956229"/>
    <w:rsid w:val="34C007AF"/>
    <w:rsid w:val="34C24EE8"/>
    <w:rsid w:val="34E14044"/>
    <w:rsid w:val="34ED1487"/>
    <w:rsid w:val="350348A2"/>
    <w:rsid w:val="3509648C"/>
    <w:rsid w:val="350B6CD1"/>
    <w:rsid w:val="353B519A"/>
    <w:rsid w:val="353E6460"/>
    <w:rsid w:val="354D7A89"/>
    <w:rsid w:val="35502BDD"/>
    <w:rsid w:val="3557414D"/>
    <w:rsid w:val="358F0D50"/>
    <w:rsid w:val="35A51867"/>
    <w:rsid w:val="35A62056"/>
    <w:rsid w:val="35A67081"/>
    <w:rsid w:val="35AC6949"/>
    <w:rsid w:val="35B1168A"/>
    <w:rsid w:val="35BC06D2"/>
    <w:rsid w:val="35C77E28"/>
    <w:rsid w:val="35DE28FA"/>
    <w:rsid w:val="35E23B11"/>
    <w:rsid w:val="35EC7AB6"/>
    <w:rsid w:val="35F155ED"/>
    <w:rsid w:val="35F70052"/>
    <w:rsid w:val="360931E6"/>
    <w:rsid w:val="360C75B8"/>
    <w:rsid w:val="361227C4"/>
    <w:rsid w:val="36165CD1"/>
    <w:rsid w:val="362F3C1B"/>
    <w:rsid w:val="363F22D7"/>
    <w:rsid w:val="364F5169"/>
    <w:rsid w:val="364F5242"/>
    <w:rsid w:val="3664704C"/>
    <w:rsid w:val="36660724"/>
    <w:rsid w:val="366F6234"/>
    <w:rsid w:val="367C6058"/>
    <w:rsid w:val="367E23DA"/>
    <w:rsid w:val="36814D91"/>
    <w:rsid w:val="368F4F9A"/>
    <w:rsid w:val="36C117CA"/>
    <w:rsid w:val="36C46FE4"/>
    <w:rsid w:val="36C47652"/>
    <w:rsid w:val="36D00D5A"/>
    <w:rsid w:val="36EC2811"/>
    <w:rsid w:val="36F13EF1"/>
    <w:rsid w:val="36F4510C"/>
    <w:rsid w:val="36F91FC5"/>
    <w:rsid w:val="37005405"/>
    <w:rsid w:val="37057619"/>
    <w:rsid w:val="370A5610"/>
    <w:rsid w:val="370E49AA"/>
    <w:rsid w:val="3710777A"/>
    <w:rsid w:val="371872EF"/>
    <w:rsid w:val="372F5D28"/>
    <w:rsid w:val="37494035"/>
    <w:rsid w:val="375F56FE"/>
    <w:rsid w:val="37654F88"/>
    <w:rsid w:val="376F4E86"/>
    <w:rsid w:val="3774238E"/>
    <w:rsid w:val="37974313"/>
    <w:rsid w:val="379B3212"/>
    <w:rsid w:val="37A84E13"/>
    <w:rsid w:val="37BA5FA5"/>
    <w:rsid w:val="37C15E47"/>
    <w:rsid w:val="37C6367F"/>
    <w:rsid w:val="37E21CF2"/>
    <w:rsid w:val="37F64AF5"/>
    <w:rsid w:val="37FC2678"/>
    <w:rsid w:val="38153AD8"/>
    <w:rsid w:val="38222F62"/>
    <w:rsid w:val="38235F70"/>
    <w:rsid w:val="38304E13"/>
    <w:rsid w:val="383208E5"/>
    <w:rsid w:val="383252C1"/>
    <w:rsid w:val="38406637"/>
    <w:rsid w:val="384D7FEA"/>
    <w:rsid w:val="385861CA"/>
    <w:rsid w:val="387F0992"/>
    <w:rsid w:val="38820824"/>
    <w:rsid w:val="38B13A4E"/>
    <w:rsid w:val="3913116B"/>
    <w:rsid w:val="39212E0F"/>
    <w:rsid w:val="39216E79"/>
    <w:rsid w:val="392327CE"/>
    <w:rsid w:val="392D63D3"/>
    <w:rsid w:val="3945013B"/>
    <w:rsid w:val="394E61CB"/>
    <w:rsid w:val="395B736D"/>
    <w:rsid w:val="39754534"/>
    <w:rsid w:val="398366D3"/>
    <w:rsid w:val="39881476"/>
    <w:rsid w:val="399F46BE"/>
    <w:rsid w:val="39CB57B4"/>
    <w:rsid w:val="39D30169"/>
    <w:rsid w:val="39DE64CC"/>
    <w:rsid w:val="39DE68DF"/>
    <w:rsid w:val="39EB5851"/>
    <w:rsid w:val="3A0D5606"/>
    <w:rsid w:val="3A157F95"/>
    <w:rsid w:val="3A1F176C"/>
    <w:rsid w:val="3A2B2B53"/>
    <w:rsid w:val="3A416ED2"/>
    <w:rsid w:val="3A69631B"/>
    <w:rsid w:val="3A74311E"/>
    <w:rsid w:val="3A8C1E05"/>
    <w:rsid w:val="3A995D37"/>
    <w:rsid w:val="3AF40EAF"/>
    <w:rsid w:val="3B0138B7"/>
    <w:rsid w:val="3B081A71"/>
    <w:rsid w:val="3B0F72CE"/>
    <w:rsid w:val="3B24365F"/>
    <w:rsid w:val="3B2566FA"/>
    <w:rsid w:val="3B2F712A"/>
    <w:rsid w:val="3B4877CF"/>
    <w:rsid w:val="3B4C1284"/>
    <w:rsid w:val="3B53251D"/>
    <w:rsid w:val="3B6E50FF"/>
    <w:rsid w:val="3B816B31"/>
    <w:rsid w:val="3B8F6A4C"/>
    <w:rsid w:val="3B9434AF"/>
    <w:rsid w:val="3BE644F7"/>
    <w:rsid w:val="3BF56F2B"/>
    <w:rsid w:val="3BFE4061"/>
    <w:rsid w:val="3C0A592A"/>
    <w:rsid w:val="3C1908DF"/>
    <w:rsid w:val="3C2A0D9F"/>
    <w:rsid w:val="3C3D5BC0"/>
    <w:rsid w:val="3C681222"/>
    <w:rsid w:val="3C8163EA"/>
    <w:rsid w:val="3C821CD3"/>
    <w:rsid w:val="3C9D1CBE"/>
    <w:rsid w:val="3CAC749C"/>
    <w:rsid w:val="3CC8269A"/>
    <w:rsid w:val="3CCD65FE"/>
    <w:rsid w:val="3CD81B6A"/>
    <w:rsid w:val="3CE505AF"/>
    <w:rsid w:val="3CE72485"/>
    <w:rsid w:val="3CE90EB4"/>
    <w:rsid w:val="3CF13E86"/>
    <w:rsid w:val="3CFB69A6"/>
    <w:rsid w:val="3D0906D0"/>
    <w:rsid w:val="3D0958EF"/>
    <w:rsid w:val="3D0B495E"/>
    <w:rsid w:val="3D0E2B02"/>
    <w:rsid w:val="3D331D31"/>
    <w:rsid w:val="3D4273C4"/>
    <w:rsid w:val="3D5A3963"/>
    <w:rsid w:val="3D5E05C0"/>
    <w:rsid w:val="3D843783"/>
    <w:rsid w:val="3DA20CB6"/>
    <w:rsid w:val="3DAD2B58"/>
    <w:rsid w:val="3DB016AC"/>
    <w:rsid w:val="3DE5227C"/>
    <w:rsid w:val="3DEE0A2C"/>
    <w:rsid w:val="3E0A0982"/>
    <w:rsid w:val="3E200140"/>
    <w:rsid w:val="3E300AD3"/>
    <w:rsid w:val="3E3645D9"/>
    <w:rsid w:val="3E5117AC"/>
    <w:rsid w:val="3E70649F"/>
    <w:rsid w:val="3E752FEE"/>
    <w:rsid w:val="3E78466F"/>
    <w:rsid w:val="3E9728EC"/>
    <w:rsid w:val="3EA36DA2"/>
    <w:rsid w:val="3EC4017B"/>
    <w:rsid w:val="3ECA6A47"/>
    <w:rsid w:val="3ED559C9"/>
    <w:rsid w:val="3EDA628E"/>
    <w:rsid w:val="3EE86108"/>
    <w:rsid w:val="3EEA6702"/>
    <w:rsid w:val="3F12297B"/>
    <w:rsid w:val="3F167184"/>
    <w:rsid w:val="3F1A7E55"/>
    <w:rsid w:val="3F1B5A0A"/>
    <w:rsid w:val="3F2A67D7"/>
    <w:rsid w:val="3F4D16E6"/>
    <w:rsid w:val="3F4F0EC3"/>
    <w:rsid w:val="3F5B7A4B"/>
    <w:rsid w:val="3F5E3A27"/>
    <w:rsid w:val="3F615AFE"/>
    <w:rsid w:val="3F6459E6"/>
    <w:rsid w:val="3F6C25C2"/>
    <w:rsid w:val="3F7174B0"/>
    <w:rsid w:val="3F7C238F"/>
    <w:rsid w:val="3F8275A7"/>
    <w:rsid w:val="3F85593D"/>
    <w:rsid w:val="3F9317EA"/>
    <w:rsid w:val="3FAE1EAA"/>
    <w:rsid w:val="3FC458CB"/>
    <w:rsid w:val="3FC50744"/>
    <w:rsid w:val="3FCA26DD"/>
    <w:rsid w:val="40090B8E"/>
    <w:rsid w:val="400A39E4"/>
    <w:rsid w:val="400D2571"/>
    <w:rsid w:val="40174F0C"/>
    <w:rsid w:val="40196F34"/>
    <w:rsid w:val="40420A0D"/>
    <w:rsid w:val="405177A4"/>
    <w:rsid w:val="40527AB4"/>
    <w:rsid w:val="40570AE2"/>
    <w:rsid w:val="405B5EF2"/>
    <w:rsid w:val="406B3335"/>
    <w:rsid w:val="406F1C68"/>
    <w:rsid w:val="407329E4"/>
    <w:rsid w:val="40801DC5"/>
    <w:rsid w:val="40844EC0"/>
    <w:rsid w:val="4086025B"/>
    <w:rsid w:val="40880D78"/>
    <w:rsid w:val="40942E4E"/>
    <w:rsid w:val="40AF2926"/>
    <w:rsid w:val="40B14B10"/>
    <w:rsid w:val="40BE5D0C"/>
    <w:rsid w:val="40D37419"/>
    <w:rsid w:val="40DF7353"/>
    <w:rsid w:val="40EC000C"/>
    <w:rsid w:val="40EC543D"/>
    <w:rsid w:val="4124393F"/>
    <w:rsid w:val="41430135"/>
    <w:rsid w:val="4155493C"/>
    <w:rsid w:val="41660486"/>
    <w:rsid w:val="41953C04"/>
    <w:rsid w:val="419934A5"/>
    <w:rsid w:val="41B61834"/>
    <w:rsid w:val="41CB0956"/>
    <w:rsid w:val="41D6325F"/>
    <w:rsid w:val="41D86512"/>
    <w:rsid w:val="41D87379"/>
    <w:rsid w:val="41E520D3"/>
    <w:rsid w:val="422722F7"/>
    <w:rsid w:val="422B3FFA"/>
    <w:rsid w:val="422F3ECC"/>
    <w:rsid w:val="423D50D1"/>
    <w:rsid w:val="423E6B8A"/>
    <w:rsid w:val="424636FE"/>
    <w:rsid w:val="424C4E9D"/>
    <w:rsid w:val="425242EA"/>
    <w:rsid w:val="426A46F6"/>
    <w:rsid w:val="426C3770"/>
    <w:rsid w:val="426F1683"/>
    <w:rsid w:val="42706705"/>
    <w:rsid w:val="42A4758F"/>
    <w:rsid w:val="42A90F3F"/>
    <w:rsid w:val="42CF24CB"/>
    <w:rsid w:val="42D51B10"/>
    <w:rsid w:val="42F120BE"/>
    <w:rsid w:val="42F37E9E"/>
    <w:rsid w:val="42F5548C"/>
    <w:rsid w:val="430601B1"/>
    <w:rsid w:val="430A0874"/>
    <w:rsid w:val="433F5744"/>
    <w:rsid w:val="434234FA"/>
    <w:rsid w:val="43445C0E"/>
    <w:rsid w:val="43572F92"/>
    <w:rsid w:val="43660DBD"/>
    <w:rsid w:val="436D575C"/>
    <w:rsid w:val="43832E5A"/>
    <w:rsid w:val="43947B2E"/>
    <w:rsid w:val="43965C6E"/>
    <w:rsid w:val="43A46235"/>
    <w:rsid w:val="43A56D67"/>
    <w:rsid w:val="43B30ECF"/>
    <w:rsid w:val="43BF4E13"/>
    <w:rsid w:val="43D9446E"/>
    <w:rsid w:val="43E02066"/>
    <w:rsid w:val="43E4411D"/>
    <w:rsid w:val="43EA7DE0"/>
    <w:rsid w:val="44135796"/>
    <w:rsid w:val="441A0C1B"/>
    <w:rsid w:val="441C6110"/>
    <w:rsid w:val="443851F9"/>
    <w:rsid w:val="443C404D"/>
    <w:rsid w:val="443D77D7"/>
    <w:rsid w:val="44496E49"/>
    <w:rsid w:val="445C4EDE"/>
    <w:rsid w:val="4464273F"/>
    <w:rsid w:val="446D1A0C"/>
    <w:rsid w:val="4486052F"/>
    <w:rsid w:val="44907EC8"/>
    <w:rsid w:val="44A83764"/>
    <w:rsid w:val="44AE577E"/>
    <w:rsid w:val="44CA72EB"/>
    <w:rsid w:val="44D46D5F"/>
    <w:rsid w:val="44E53CB8"/>
    <w:rsid w:val="44EE60F3"/>
    <w:rsid w:val="44F63AE0"/>
    <w:rsid w:val="450C4F62"/>
    <w:rsid w:val="45212A8B"/>
    <w:rsid w:val="45334C4D"/>
    <w:rsid w:val="453B6F2D"/>
    <w:rsid w:val="454E0D58"/>
    <w:rsid w:val="4551194E"/>
    <w:rsid w:val="456E75A5"/>
    <w:rsid w:val="457908D6"/>
    <w:rsid w:val="457D6D04"/>
    <w:rsid w:val="458634EA"/>
    <w:rsid w:val="459C4888"/>
    <w:rsid w:val="45C7704C"/>
    <w:rsid w:val="45E41D14"/>
    <w:rsid w:val="45E910E1"/>
    <w:rsid w:val="45EB47A3"/>
    <w:rsid w:val="460729EC"/>
    <w:rsid w:val="460F0BBC"/>
    <w:rsid w:val="46312007"/>
    <w:rsid w:val="46497BAC"/>
    <w:rsid w:val="4654502A"/>
    <w:rsid w:val="466179BB"/>
    <w:rsid w:val="467E3B9D"/>
    <w:rsid w:val="468C347D"/>
    <w:rsid w:val="468D3034"/>
    <w:rsid w:val="468F2D28"/>
    <w:rsid w:val="46921B15"/>
    <w:rsid w:val="46A52674"/>
    <w:rsid w:val="46AB3CF3"/>
    <w:rsid w:val="46C30770"/>
    <w:rsid w:val="46C704E7"/>
    <w:rsid w:val="46CF70F3"/>
    <w:rsid w:val="46D01AE7"/>
    <w:rsid w:val="46DF6CF9"/>
    <w:rsid w:val="46E94558"/>
    <w:rsid w:val="47046AF2"/>
    <w:rsid w:val="471C62A9"/>
    <w:rsid w:val="471E680C"/>
    <w:rsid w:val="47263A4B"/>
    <w:rsid w:val="47351A7A"/>
    <w:rsid w:val="473C470F"/>
    <w:rsid w:val="474011DA"/>
    <w:rsid w:val="474A4BC8"/>
    <w:rsid w:val="47655E8C"/>
    <w:rsid w:val="4767145E"/>
    <w:rsid w:val="47753672"/>
    <w:rsid w:val="47922A24"/>
    <w:rsid w:val="4798090A"/>
    <w:rsid w:val="47987786"/>
    <w:rsid w:val="47B4400A"/>
    <w:rsid w:val="47C86D18"/>
    <w:rsid w:val="47DD2E02"/>
    <w:rsid w:val="47E34FCD"/>
    <w:rsid w:val="47EF32FB"/>
    <w:rsid w:val="47F21F2D"/>
    <w:rsid w:val="48072584"/>
    <w:rsid w:val="481C5CAE"/>
    <w:rsid w:val="48495531"/>
    <w:rsid w:val="486A5A4F"/>
    <w:rsid w:val="4875155F"/>
    <w:rsid w:val="487B0E3D"/>
    <w:rsid w:val="488542A2"/>
    <w:rsid w:val="4896274B"/>
    <w:rsid w:val="48BD09D7"/>
    <w:rsid w:val="48BE3BC7"/>
    <w:rsid w:val="48C61B81"/>
    <w:rsid w:val="48D827DD"/>
    <w:rsid w:val="48EE2F0B"/>
    <w:rsid w:val="491D04DC"/>
    <w:rsid w:val="493641C0"/>
    <w:rsid w:val="493A7B76"/>
    <w:rsid w:val="49441701"/>
    <w:rsid w:val="49482C33"/>
    <w:rsid w:val="494B1727"/>
    <w:rsid w:val="494C374C"/>
    <w:rsid w:val="496C6828"/>
    <w:rsid w:val="496D0D67"/>
    <w:rsid w:val="4979037C"/>
    <w:rsid w:val="49896F8C"/>
    <w:rsid w:val="498A6E51"/>
    <w:rsid w:val="49946DC4"/>
    <w:rsid w:val="49AB06C8"/>
    <w:rsid w:val="49B35F12"/>
    <w:rsid w:val="49BF202F"/>
    <w:rsid w:val="49C0071F"/>
    <w:rsid w:val="49C87424"/>
    <w:rsid w:val="49CA4E78"/>
    <w:rsid w:val="49D267F8"/>
    <w:rsid w:val="49FE17A9"/>
    <w:rsid w:val="4A096E32"/>
    <w:rsid w:val="4A204457"/>
    <w:rsid w:val="4A482748"/>
    <w:rsid w:val="4A5B1BAA"/>
    <w:rsid w:val="4A6F4145"/>
    <w:rsid w:val="4A745318"/>
    <w:rsid w:val="4A8A35A1"/>
    <w:rsid w:val="4A8D7331"/>
    <w:rsid w:val="4A9D573F"/>
    <w:rsid w:val="4AA9193A"/>
    <w:rsid w:val="4ABE2647"/>
    <w:rsid w:val="4AD4362D"/>
    <w:rsid w:val="4AE80BFD"/>
    <w:rsid w:val="4B0F35B0"/>
    <w:rsid w:val="4B301732"/>
    <w:rsid w:val="4B30685B"/>
    <w:rsid w:val="4B3914B4"/>
    <w:rsid w:val="4B394FC9"/>
    <w:rsid w:val="4B482464"/>
    <w:rsid w:val="4B490C5C"/>
    <w:rsid w:val="4B493655"/>
    <w:rsid w:val="4B53314F"/>
    <w:rsid w:val="4B6F2F85"/>
    <w:rsid w:val="4B715C38"/>
    <w:rsid w:val="4B754808"/>
    <w:rsid w:val="4B8538D4"/>
    <w:rsid w:val="4B882896"/>
    <w:rsid w:val="4B9510D8"/>
    <w:rsid w:val="4BA64681"/>
    <w:rsid w:val="4BC2192A"/>
    <w:rsid w:val="4BF15042"/>
    <w:rsid w:val="4C0F515C"/>
    <w:rsid w:val="4C14480A"/>
    <w:rsid w:val="4C252AE1"/>
    <w:rsid w:val="4C295139"/>
    <w:rsid w:val="4C2D05BF"/>
    <w:rsid w:val="4C515AAD"/>
    <w:rsid w:val="4C52655F"/>
    <w:rsid w:val="4C5B62BB"/>
    <w:rsid w:val="4C6E6FFC"/>
    <w:rsid w:val="4C77362C"/>
    <w:rsid w:val="4CA26108"/>
    <w:rsid w:val="4CAE412C"/>
    <w:rsid w:val="4CC84A9B"/>
    <w:rsid w:val="4CD1154E"/>
    <w:rsid w:val="4CD4774E"/>
    <w:rsid w:val="4CF310C7"/>
    <w:rsid w:val="4CF36C5F"/>
    <w:rsid w:val="4D0105E9"/>
    <w:rsid w:val="4D19246F"/>
    <w:rsid w:val="4D2B3EEB"/>
    <w:rsid w:val="4D385556"/>
    <w:rsid w:val="4D39679C"/>
    <w:rsid w:val="4D3C16EA"/>
    <w:rsid w:val="4D673A2D"/>
    <w:rsid w:val="4D7B75CA"/>
    <w:rsid w:val="4D9D13E7"/>
    <w:rsid w:val="4DAC6CCE"/>
    <w:rsid w:val="4DBF4D30"/>
    <w:rsid w:val="4DC23F49"/>
    <w:rsid w:val="4DCC649D"/>
    <w:rsid w:val="4DCD02DC"/>
    <w:rsid w:val="4DD77C46"/>
    <w:rsid w:val="4E0F33CD"/>
    <w:rsid w:val="4E260FF7"/>
    <w:rsid w:val="4E294836"/>
    <w:rsid w:val="4E296556"/>
    <w:rsid w:val="4E2C6989"/>
    <w:rsid w:val="4E2E43E9"/>
    <w:rsid w:val="4E327B01"/>
    <w:rsid w:val="4E4B7D53"/>
    <w:rsid w:val="4E541AB7"/>
    <w:rsid w:val="4E611273"/>
    <w:rsid w:val="4E64167E"/>
    <w:rsid w:val="4E7C65A6"/>
    <w:rsid w:val="4E800EC2"/>
    <w:rsid w:val="4EA06BDB"/>
    <w:rsid w:val="4EAA25F3"/>
    <w:rsid w:val="4EBE561C"/>
    <w:rsid w:val="4EC76D10"/>
    <w:rsid w:val="4ED427D9"/>
    <w:rsid w:val="4EF870B5"/>
    <w:rsid w:val="4F1C04FD"/>
    <w:rsid w:val="4F26400E"/>
    <w:rsid w:val="4F2E3341"/>
    <w:rsid w:val="4F3202C1"/>
    <w:rsid w:val="4F3775E0"/>
    <w:rsid w:val="4F3E0A99"/>
    <w:rsid w:val="4F6B4FA3"/>
    <w:rsid w:val="4F6F79CD"/>
    <w:rsid w:val="4F705D9E"/>
    <w:rsid w:val="4F95136A"/>
    <w:rsid w:val="4FBB6EB0"/>
    <w:rsid w:val="4FD87A53"/>
    <w:rsid w:val="4FE72267"/>
    <w:rsid w:val="4FFD193D"/>
    <w:rsid w:val="500E10AF"/>
    <w:rsid w:val="50176C0F"/>
    <w:rsid w:val="501D6690"/>
    <w:rsid w:val="501F7B95"/>
    <w:rsid w:val="502046A4"/>
    <w:rsid w:val="502823B9"/>
    <w:rsid w:val="50311825"/>
    <w:rsid w:val="50465CA9"/>
    <w:rsid w:val="504B5E71"/>
    <w:rsid w:val="50504B33"/>
    <w:rsid w:val="505A3BDE"/>
    <w:rsid w:val="505F3754"/>
    <w:rsid w:val="50917B30"/>
    <w:rsid w:val="50943E0D"/>
    <w:rsid w:val="509C5CF2"/>
    <w:rsid w:val="50A20D17"/>
    <w:rsid w:val="50A4605D"/>
    <w:rsid w:val="50AC6E78"/>
    <w:rsid w:val="50B565E8"/>
    <w:rsid w:val="50CA42C2"/>
    <w:rsid w:val="50DF262A"/>
    <w:rsid w:val="50E961B4"/>
    <w:rsid w:val="50EC2AF4"/>
    <w:rsid w:val="51034031"/>
    <w:rsid w:val="512578B9"/>
    <w:rsid w:val="515417A6"/>
    <w:rsid w:val="51642F65"/>
    <w:rsid w:val="516D30DB"/>
    <w:rsid w:val="517F4786"/>
    <w:rsid w:val="51857924"/>
    <w:rsid w:val="518B5D88"/>
    <w:rsid w:val="51903C9C"/>
    <w:rsid w:val="51A553DD"/>
    <w:rsid w:val="51A74F35"/>
    <w:rsid w:val="51ED095D"/>
    <w:rsid w:val="51FC2388"/>
    <w:rsid w:val="5202476D"/>
    <w:rsid w:val="52083F65"/>
    <w:rsid w:val="521259BD"/>
    <w:rsid w:val="5269647B"/>
    <w:rsid w:val="526C0C3C"/>
    <w:rsid w:val="5272221A"/>
    <w:rsid w:val="52891B7D"/>
    <w:rsid w:val="529450F0"/>
    <w:rsid w:val="529B4336"/>
    <w:rsid w:val="52B91055"/>
    <w:rsid w:val="52DB5D80"/>
    <w:rsid w:val="52E937A5"/>
    <w:rsid w:val="52F5164A"/>
    <w:rsid w:val="53134F03"/>
    <w:rsid w:val="53313159"/>
    <w:rsid w:val="533E5DF5"/>
    <w:rsid w:val="53443438"/>
    <w:rsid w:val="53574B86"/>
    <w:rsid w:val="53603D67"/>
    <w:rsid w:val="53615ECE"/>
    <w:rsid w:val="53861BE4"/>
    <w:rsid w:val="53C1751A"/>
    <w:rsid w:val="53D857E2"/>
    <w:rsid w:val="53D867EC"/>
    <w:rsid w:val="53DF247D"/>
    <w:rsid w:val="53E701A0"/>
    <w:rsid w:val="53EB5600"/>
    <w:rsid w:val="53F0410C"/>
    <w:rsid w:val="53F57FB6"/>
    <w:rsid w:val="53F95FC5"/>
    <w:rsid w:val="5412588F"/>
    <w:rsid w:val="54134430"/>
    <w:rsid w:val="541C0A31"/>
    <w:rsid w:val="541C62AC"/>
    <w:rsid w:val="542005C1"/>
    <w:rsid w:val="544809EA"/>
    <w:rsid w:val="544942E0"/>
    <w:rsid w:val="54546791"/>
    <w:rsid w:val="54606A7B"/>
    <w:rsid w:val="546970A9"/>
    <w:rsid w:val="54840398"/>
    <w:rsid w:val="54844A42"/>
    <w:rsid w:val="548557F2"/>
    <w:rsid w:val="548D1C77"/>
    <w:rsid w:val="54AC58BB"/>
    <w:rsid w:val="54B67D7C"/>
    <w:rsid w:val="54D2531E"/>
    <w:rsid w:val="54EF7507"/>
    <w:rsid w:val="55087C2C"/>
    <w:rsid w:val="55156FE6"/>
    <w:rsid w:val="55381DE8"/>
    <w:rsid w:val="553C4AA2"/>
    <w:rsid w:val="553E5BFA"/>
    <w:rsid w:val="554F0586"/>
    <w:rsid w:val="555F0D08"/>
    <w:rsid w:val="556565EB"/>
    <w:rsid w:val="559013D3"/>
    <w:rsid w:val="5599459B"/>
    <w:rsid w:val="55B73781"/>
    <w:rsid w:val="55D25FE3"/>
    <w:rsid w:val="55DB3208"/>
    <w:rsid w:val="55F667B3"/>
    <w:rsid w:val="56035375"/>
    <w:rsid w:val="56122EF8"/>
    <w:rsid w:val="561640AD"/>
    <w:rsid w:val="5633105E"/>
    <w:rsid w:val="563343C8"/>
    <w:rsid w:val="56465DDB"/>
    <w:rsid w:val="56820CC2"/>
    <w:rsid w:val="569D64EB"/>
    <w:rsid w:val="56AC5327"/>
    <w:rsid w:val="56F40B4A"/>
    <w:rsid w:val="570022BB"/>
    <w:rsid w:val="57006263"/>
    <w:rsid w:val="57037937"/>
    <w:rsid w:val="57051323"/>
    <w:rsid w:val="572760A6"/>
    <w:rsid w:val="572A4A6B"/>
    <w:rsid w:val="57480599"/>
    <w:rsid w:val="5755333E"/>
    <w:rsid w:val="576B0811"/>
    <w:rsid w:val="577C2162"/>
    <w:rsid w:val="57867C49"/>
    <w:rsid w:val="57875E85"/>
    <w:rsid w:val="57B97296"/>
    <w:rsid w:val="57BA719C"/>
    <w:rsid w:val="57BC677C"/>
    <w:rsid w:val="57BD53D9"/>
    <w:rsid w:val="57CF7B6C"/>
    <w:rsid w:val="57D508FC"/>
    <w:rsid w:val="57DC653B"/>
    <w:rsid w:val="57E648BD"/>
    <w:rsid w:val="57F07483"/>
    <w:rsid w:val="57F3507D"/>
    <w:rsid w:val="580A094B"/>
    <w:rsid w:val="582207F3"/>
    <w:rsid w:val="583774B0"/>
    <w:rsid w:val="583A4160"/>
    <w:rsid w:val="585E0502"/>
    <w:rsid w:val="58671A06"/>
    <w:rsid w:val="587454CC"/>
    <w:rsid w:val="58934800"/>
    <w:rsid w:val="58957BA8"/>
    <w:rsid w:val="589E1BBA"/>
    <w:rsid w:val="58A24244"/>
    <w:rsid w:val="58AA2CB6"/>
    <w:rsid w:val="58B63628"/>
    <w:rsid w:val="58BB3318"/>
    <w:rsid w:val="58D62C96"/>
    <w:rsid w:val="58F4053E"/>
    <w:rsid w:val="58F73874"/>
    <w:rsid w:val="590B33F8"/>
    <w:rsid w:val="59214D2E"/>
    <w:rsid w:val="5962719D"/>
    <w:rsid w:val="59657276"/>
    <w:rsid w:val="59730EB3"/>
    <w:rsid w:val="5976669E"/>
    <w:rsid w:val="59770640"/>
    <w:rsid w:val="59A00881"/>
    <w:rsid w:val="59B771AD"/>
    <w:rsid w:val="59BA54CC"/>
    <w:rsid w:val="59BE7293"/>
    <w:rsid w:val="59CA764C"/>
    <w:rsid w:val="59CB6BFA"/>
    <w:rsid w:val="59CC55F1"/>
    <w:rsid w:val="59E74266"/>
    <w:rsid w:val="59EC5FE7"/>
    <w:rsid w:val="59F039FB"/>
    <w:rsid w:val="59FD0AF7"/>
    <w:rsid w:val="5A0638AD"/>
    <w:rsid w:val="5A126E96"/>
    <w:rsid w:val="5A136211"/>
    <w:rsid w:val="5A145DE7"/>
    <w:rsid w:val="5A2150D4"/>
    <w:rsid w:val="5A290B1D"/>
    <w:rsid w:val="5A3F221E"/>
    <w:rsid w:val="5A595137"/>
    <w:rsid w:val="5A645FFA"/>
    <w:rsid w:val="5A6837D9"/>
    <w:rsid w:val="5A79676E"/>
    <w:rsid w:val="5AB25269"/>
    <w:rsid w:val="5ABD7B5A"/>
    <w:rsid w:val="5AEF7A90"/>
    <w:rsid w:val="5AFF7241"/>
    <w:rsid w:val="5B03308B"/>
    <w:rsid w:val="5B1007ED"/>
    <w:rsid w:val="5B220D98"/>
    <w:rsid w:val="5B232252"/>
    <w:rsid w:val="5B2B11F5"/>
    <w:rsid w:val="5B315714"/>
    <w:rsid w:val="5B352A79"/>
    <w:rsid w:val="5B453B2F"/>
    <w:rsid w:val="5B4663A3"/>
    <w:rsid w:val="5B8E3FA6"/>
    <w:rsid w:val="5B8F6E01"/>
    <w:rsid w:val="5B955B93"/>
    <w:rsid w:val="5B9676B4"/>
    <w:rsid w:val="5BA41908"/>
    <w:rsid w:val="5BE4769E"/>
    <w:rsid w:val="5BF77EF4"/>
    <w:rsid w:val="5C024917"/>
    <w:rsid w:val="5C102159"/>
    <w:rsid w:val="5C162428"/>
    <w:rsid w:val="5C226257"/>
    <w:rsid w:val="5C261F20"/>
    <w:rsid w:val="5C327061"/>
    <w:rsid w:val="5C3D6F95"/>
    <w:rsid w:val="5C6B6C1B"/>
    <w:rsid w:val="5C901244"/>
    <w:rsid w:val="5C982F89"/>
    <w:rsid w:val="5CCB2DCD"/>
    <w:rsid w:val="5CE41631"/>
    <w:rsid w:val="5CF22E1B"/>
    <w:rsid w:val="5CFA26B5"/>
    <w:rsid w:val="5D023A7A"/>
    <w:rsid w:val="5D6E5F12"/>
    <w:rsid w:val="5D76101E"/>
    <w:rsid w:val="5D797989"/>
    <w:rsid w:val="5D7A3BB6"/>
    <w:rsid w:val="5D9179E9"/>
    <w:rsid w:val="5D98265D"/>
    <w:rsid w:val="5DAF1603"/>
    <w:rsid w:val="5DB76527"/>
    <w:rsid w:val="5DBA1AC4"/>
    <w:rsid w:val="5DDF72F9"/>
    <w:rsid w:val="5DE377B1"/>
    <w:rsid w:val="5DE63AF6"/>
    <w:rsid w:val="5DEA4B87"/>
    <w:rsid w:val="5DF21FF8"/>
    <w:rsid w:val="5DF7493D"/>
    <w:rsid w:val="5E1133BD"/>
    <w:rsid w:val="5E1223C5"/>
    <w:rsid w:val="5E126FBA"/>
    <w:rsid w:val="5E1A4EAF"/>
    <w:rsid w:val="5E2E609C"/>
    <w:rsid w:val="5E3004CB"/>
    <w:rsid w:val="5E3A6883"/>
    <w:rsid w:val="5EA07A5E"/>
    <w:rsid w:val="5EBB6527"/>
    <w:rsid w:val="5EC50765"/>
    <w:rsid w:val="5ECD7C6A"/>
    <w:rsid w:val="5ED13107"/>
    <w:rsid w:val="5ED73600"/>
    <w:rsid w:val="5ED900F1"/>
    <w:rsid w:val="5EE05471"/>
    <w:rsid w:val="5EFC34CD"/>
    <w:rsid w:val="5F0B3091"/>
    <w:rsid w:val="5F1B5299"/>
    <w:rsid w:val="5F1F5BF9"/>
    <w:rsid w:val="5F277FBB"/>
    <w:rsid w:val="5F2F357C"/>
    <w:rsid w:val="5F3A2EB9"/>
    <w:rsid w:val="5F49299D"/>
    <w:rsid w:val="5F586D18"/>
    <w:rsid w:val="5F5E74C5"/>
    <w:rsid w:val="5F7F4B34"/>
    <w:rsid w:val="5F8E07E5"/>
    <w:rsid w:val="5F983BF6"/>
    <w:rsid w:val="5FA14959"/>
    <w:rsid w:val="5FC70D92"/>
    <w:rsid w:val="5FCD0238"/>
    <w:rsid w:val="5FDC2B7A"/>
    <w:rsid w:val="5FF426D6"/>
    <w:rsid w:val="5FFA377F"/>
    <w:rsid w:val="60071B82"/>
    <w:rsid w:val="60173112"/>
    <w:rsid w:val="60174549"/>
    <w:rsid w:val="60190C1F"/>
    <w:rsid w:val="601962C9"/>
    <w:rsid w:val="602768DB"/>
    <w:rsid w:val="603B48C8"/>
    <w:rsid w:val="603E78D3"/>
    <w:rsid w:val="60492FA1"/>
    <w:rsid w:val="6067284D"/>
    <w:rsid w:val="6088503C"/>
    <w:rsid w:val="608A56C7"/>
    <w:rsid w:val="608C7256"/>
    <w:rsid w:val="608D78BF"/>
    <w:rsid w:val="60976B7B"/>
    <w:rsid w:val="60A73CB4"/>
    <w:rsid w:val="60B9497D"/>
    <w:rsid w:val="60C17E45"/>
    <w:rsid w:val="60EC2838"/>
    <w:rsid w:val="611775F4"/>
    <w:rsid w:val="611A7E07"/>
    <w:rsid w:val="611F7F1D"/>
    <w:rsid w:val="614451FD"/>
    <w:rsid w:val="61793A27"/>
    <w:rsid w:val="61973182"/>
    <w:rsid w:val="619D03EC"/>
    <w:rsid w:val="61A10637"/>
    <w:rsid w:val="61A82D92"/>
    <w:rsid w:val="61A92AD9"/>
    <w:rsid w:val="61B47AC6"/>
    <w:rsid w:val="61B5024F"/>
    <w:rsid w:val="61B54872"/>
    <w:rsid w:val="61C839B1"/>
    <w:rsid w:val="61D91CD9"/>
    <w:rsid w:val="61EE115D"/>
    <w:rsid w:val="6201046A"/>
    <w:rsid w:val="62137A18"/>
    <w:rsid w:val="621F0A06"/>
    <w:rsid w:val="625042FF"/>
    <w:rsid w:val="627F080C"/>
    <w:rsid w:val="6292176D"/>
    <w:rsid w:val="62C44DBF"/>
    <w:rsid w:val="62C86917"/>
    <w:rsid w:val="62E805B1"/>
    <w:rsid w:val="62E970CA"/>
    <w:rsid w:val="62F26827"/>
    <w:rsid w:val="62F74057"/>
    <w:rsid w:val="62F812DB"/>
    <w:rsid w:val="630E6961"/>
    <w:rsid w:val="63332728"/>
    <w:rsid w:val="633869B9"/>
    <w:rsid w:val="633A355F"/>
    <w:rsid w:val="633F1673"/>
    <w:rsid w:val="636173B9"/>
    <w:rsid w:val="636E78E9"/>
    <w:rsid w:val="63A711B2"/>
    <w:rsid w:val="63AD0A58"/>
    <w:rsid w:val="63B307BC"/>
    <w:rsid w:val="63E41F20"/>
    <w:rsid w:val="63E7206A"/>
    <w:rsid w:val="63E73E74"/>
    <w:rsid w:val="63EA37EE"/>
    <w:rsid w:val="63F467B3"/>
    <w:rsid w:val="63F53CF2"/>
    <w:rsid w:val="63FD4238"/>
    <w:rsid w:val="64032818"/>
    <w:rsid w:val="640D58CD"/>
    <w:rsid w:val="642B7D4B"/>
    <w:rsid w:val="642E337B"/>
    <w:rsid w:val="646B659C"/>
    <w:rsid w:val="64A618FA"/>
    <w:rsid w:val="64B136F6"/>
    <w:rsid w:val="64B13B58"/>
    <w:rsid w:val="64C6702C"/>
    <w:rsid w:val="64D902DC"/>
    <w:rsid w:val="64E76A90"/>
    <w:rsid w:val="64EB4C2B"/>
    <w:rsid w:val="64EB63C6"/>
    <w:rsid w:val="64EC3A2A"/>
    <w:rsid w:val="6502635D"/>
    <w:rsid w:val="65497ADA"/>
    <w:rsid w:val="65797DB5"/>
    <w:rsid w:val="659831FE"/>
    <w:rsid w:val="659E00D7"/>
    <w:rsid w:val="65A00535"/>
    <w:rsid w:val="65A4159C"/>
    <w:rsid w:val="65AB72BE"/>
    <w:rsid w:val="65BB30C9"/>
    <w:rsid w:val="65BE0081"/>
    <w:rsid w:val="65CD1834"/>
    <w:rsid w:val="65E74046"/>
    <w:rsid w:val="65EE56B8"/>
    <w:rsid w:val="65EF6E39"/>
    <w:rsid w:val="65FD7111"/>
    <w:rsid w:val="660136AA"/>
    <w:rsid w:val="66242347"/>
    <w:rsid w:val="66380A9E"/>
    <w:rsid w:val="663D647B"/>
    <w:rsid w:val="665113EE"/>
    <w:rsid w:val="665B4000"/>
    <w:rsid w:val="6664480C"/>
    <w:rsid w:val="66693C8D"/>
    <w:rsid w:val="667773F1"/>
    <w:rsid w:val="66876EF2"/>
    <w:rsid w:val="66B9465C"/>
    <w:rsid w:val="66C32801"/>
    <w:rsid w:val="66D46BAB"/>
    <w:rsid w:val="66DA0468"/>
    <w:rsid w:val="6702190B"/>
    <w:rsid w:val="67042073"/>
    <w:rsid w:val="67125AC9"/>
    <w:rsid w:val="672A0023"/>
    <w:rsid w:val="672B508F"/>
    <w:rsid w:val="672C6FF0"/>
    <w:rsid w:val="6731286F"/>
    <w:rsid w:val="67426CE4"/>
    <w:rsid w:val="674F55E8"/>
    <w:rsid w:val="675356A9"/>
    <w:rsid w:val="67587A01"/>
    <w:rsid w:val="676F7B14"/>
    <w:rsid w:val="67726E05"/>
    <w:rsid w:val="677A17D2"/>
    <w:rsid w:val="678403A6"/>
    <w:rsid w:val="67892324"/>
    <w:rsid w:val="67B24858"/>
    <w:rsid w:val="67BA148D"/>
    <w:rsid w:val="67BD4513"/>
    <w:rsid w:val="67C94C9C"/>
    <w:rsid w:val="67DA4A82"/>
    <w:rsid w:val="67E01E23"/>
    <w:rsid w:val="67F253DD"/>
    <w:rsid w:val="67F674E9"/>
    <w:rsid w:val="680B50EB"/>
    <w:rsid w:val="681A1A0F"/>
    <w:rsid w:val="682473CB"/>
    <w:rsid w:val="685226BA"/>
    <w:rsid w:val="685E0FE1"/>
    <w:rsid w:val="68702EF7"/>
    <w:rsid w:val="68712C94"/>
    <w:rsid w:val="68932E6C"/>
    <w:rsid w:val="68941A08"/>
    <w:rsid w:val="68B158F6"/>
    <w:rsid w:val="68C01C7B"/>
    <w:rsid w:val="68E54A3D"/>
    <w:rsid w:val="68F874C0"/>
    <w:rsid w:val="69046FA0"/>
    <w:rsid w:val="6906436F"/>
    <w:rsid w:val="690864AC"/>
    <w:rsid w:val="69156C0D"/>
    <w:rsid w:val="691577D1"/>
    <w:rsid w:val="691D23E0"/>
    <w:rsid w:val="69202BB7"/>
    <w:rsid w:val="69202F82"/>
    <w:rsid w:val="69242406"/>
    <w:rsid w:val="69254274"/>
    <w:rsid w:val="69387987"/>
    <w:rsid w:val="69464E4D"/>
    <w:rsid w:val="694B6780"/>
    <w:rsid w:val="69662BF3"/>
    <w:rsid w:val="69671AE9"/>
    <w:rsid w:val="69761FF0"/>
    <w:rsid w:val="69774871"/>
    <w:rsid w:val="697A5B23"/>
    <w:rsid w:val="698423D8"/>
    <w:rsid w:val="69941590"/>
    <w:rsid w:val="69987F46"/>
    <w:rsid w:val="69AC5364"/>
    <w:rsid w:val="69B54FD9"/>
    <w:rsid w:val="69CC08A0"/>
    <w:rsid w:val="69CC46C9"/>
    <w:rsid w:val="69DC0CF7"/>
    <w:rsid w:val="69E162BB"/>
    <w:rsid w:val="69E41B66"/>
    <w:rsid w:val="6A007189"/>
    <w:rsid w:val="6A0C0796"/>
    <w:rsid w:val="6A230078"/>
    <w:rsid w:val="6A4333E4"/>
    <w:rsid w:val="6A607D15"/>
    <w:rsid w:val="6A6622B1"/>
    <w:rsid w:val="6A70714A"/>
    <w:rsid w:val="6A7800EF"/>
    <w:rsid w:val="6A7B50CD"/>
    <w:rsid w:val="6A7D70AE"/>
    <w:rsid w:val="6AB40412"/>
    <w:rsid w:val="6AB67F05"/>
    <w:rsid w:val="6ABB639D"/>
    <w:rsid w:val="6AC85D9D"/>
    <w:rsid w:val="6AD7460E"/>
    <w:rsid w:val="6AE05A45"/>
    <w:rsid w:val="6AE13C82"/>
    <w:rsid w:val="6AED2B0A"/>
    <w:rsid w:val="6AF2109A"/>
    <w:rsid w:val="6AF94006"/>
    <w:rsid w:val="6AF967A0"/>
    <w:rsid w:val="6B1D65B5"/>
    <w:rsid w:val="6B1E0D9B"/>
    <w:rsid w:val="6B1E4C0E"/>
    <w:rsid w:val="6B3F46C6"/>
    <w:rsid w:val="6B451C6F"/>
    <w:rsid w:val="6B461D26"/>
    <w:rsid w:val="6B7D2E5B"/>
    <w:rsid w:val="6B7F08E1"/>
    <w:rsid w:val="6B890222"/>
    <w:rsid w:val="6BAC0B87"/>
    <w:rsid w:val="6BB22E2F"/>
    <w:rsid w:val="6BB26123"/>
    <w:rsid w:val="6BC5589D"/>
    <w:rsid w:val="6BDF5F53"/>
    <w:rsid w:val="6C0503AD"/>
    <w:rsid w:val="6C057467"/>
    <w:rsid w:val="6C1E689F"/>
    <w:rsid w:val="6C2546F7"/>
    <w:rsid w:val="6C2562E4"/>
    <w:rsid w:val="6C422FCA"/>
    <w:rsid w:val="6C43467E"/>
    <w:rsid w:val="6C550BE8"/>
    <w:rsid w:val="6CA10D20"/>
    <w:rsid w:val="6CBF225C"/>
    <w:rsid w:val="6CDD247E"/>
    <w:rsid w:val="6CE70A90"/>
    <w:rsid w:val="6CEA4CE6"/>
    <w:rsid w:val="6D0252AE"/>
    <w:rsid w:val="6D032CC5"/>
    <w:rsid w:val="6D101AFC"/>
    <w:rsid w:val="6D1B7C30"/>
    <w:rsid w:val="6D3165EF"/>
    <w:rsid w:val="6D3B443E"/>
    <w:rsid w:val="6D3E5248"/>
    <w:rsid w:val="6D4A6418"/>
    <w:rsid w:val="6D572F93"/>
    <w:rsid w:val="6D733DC9"/>
    <w:rsid w:val="6D8B2E85"/>
    <w:rsid w:val="6D8D0432"/>
    <w:rsid w:val="6D980CFE"/>
    <w:rsid w:val="6D9B3D49"/>
    <w:rsid w:val="6DA514C3"/>
    <w:rsid w:val="6DB61AA5"/>
    <w:rsid w:val="6DB9056F"/>
    <w:rsid w:val="6DBA05AB"/>
    <w:rsid w:val="6DC87DCD"/>
    <w:rsid w:val="6DCD7BF1"/>
    <w:rsid w:val="6DD2546C"/>
    <w:rsid w:val="6DE16D9C"/>
    <w:rsid w:val="6E1D183F"/>
    <w:rsid w:val="6E1E003F"/>
    <w:rsid w:val="6E284890"/>
    <w:rsid w:val="6E2D0BB3"/>
    <w:rsid w:val="6E31017D"/>
    <w:rsid w:val="6E480ADE"/>
    <w:rsid w:val="6E4A1FCF"/>
    <w:rsid w:val="6E6F2F93"/>
    <w:rsid w:val="6E7A5A1C"/>
    <w:rsid w:val="6E9B09E7"/>
    <w:rsid w:val="6E9C588B"/>
    <w:rsid w:val="6ED45E93"/>
    <w:rsid w:val="6EE62A6A"/>
    <w:rsid w:val="6EFE24AE"/>
    <w:rsid w:val="6F0354E5"/>
    <w:rsid w:val="6F057E16"/>
    <w:rsid w:val="6F13399E"/>
    <w:rsid w:val="6F222505"/>
    <w:rsid w:val="6F2A3FC6"/>
    <w:rsid w:val="6F2B1E4D"/>
    <w:rsid w:val="6F2C4BFF"/>
    <w:rsid w:val="6F36360B"/>
    <w:rsid w:val="6F4468FE"/>
    <w:rsid w:val="6F6D1650"/>
    <w:rsid w:val="6F6E4CA3"/>
    <w:rsid w:val="6F711082"/>
    <w:rsid w:val="6F713270"/>
    <w:rsid w:val="6F8F7A40"/>
    <w:rsid w:val="6FAB5ECE"/>
    <w:rsid w:val="6FBB218E"/>
    <w:rsid w:val="6FC53B02"/>
    <w:rsid w:val="6FC71100"/>
    <w:rsid w:val="6FC83C81"/>
    <w:rsid w:val="6FE5551A"/>
    <w:rsid w:val="7003225E"/>
    <w:rsid w:val="70037069"/>
    <w:rsid w:val="70090582"/>
    <w:rsid w:val="700F241C"/>
    <w:rsid w:val="70171BE4"/>
    <w:rsid w:val="701A47CA"/>
    <w:rsid w:val="701C624D"/>
    <w:rsid w:val="70235B53"/>
    <w:rsid w:val="70243675"/>
    <w:rsid w:val="704B365B"/>
    <w:rsid w:val="704B74EC"/>
    <w:rsid w:val="70542BA9"/>
    <w:rsid w:val="70552C40"/>
    <w:rsid w:val="705826B2"/>
    <w:rsid w:val="705D1EC8"/>
    <w:rsid w:val="70623D62"/>
    <w:rsid w:val="70664B9D"/>
    <w:rsid w:val="70A67E76"/>
    <w:rsid w:val="70CD5A8C"/>
    <w:rsid w:val="70EB4D6F"/>
    <w:rsid w:val="70EE60DC"/>
    <w:rsid w:val="710A2FD0"/>
    <w:rsid w:val="710B0FC9"/>
    <w:rsid w:val="71202A40"/>
    <w:rsid w:val="714829B2"/>
    <w:rsid w:val="71B45316"/>
    <w:rsid w:val="71B55189"/>
    <w:rsid w:val="71D015D1"/>
    <w:rsid w:val="71D94CCD"/>
    <w:rsid w:val="71DA0FED"/>
    <w:rsid w:val="71DC68D1"/>
    <w:rsid w:val="71E73849"/>
    <w:rsid w:val="71EA03B7"/>
    <w:rsid w:val="71F81C58"/>
    <w:rsid w:val="71FA53E6"/>
    <w:rsid w:val="720D05E3"/>
    <w:rsid w:val="72106082"/>
    <w:rsid w:val="72216288"/>
    <w:rsid w:val="722E5DAE"/>
    <w:rsid w:val="724A559D"/>
    <w:rsid w:val="72C76139"/>
    <w:rsid w:val="72D20F88"/>
    <w:rsid w:val="72D52DFB"/>
    <w:rsid w:val="72E05562"/>
    <w:rsid w:val="72E852C7"/>
    <w:rsid w:val="72EC5574"/>
    <w:rsid w:val="72FB5D0C"/>
    <w:rsid w:val="7300666B"/>
    <w:rsid w:val="73017B04"/>
    <w:rsid w:val="730471E0"/>
    <w:rsid w:val="730E1EFB"/>
    <w:rsid w:val="73280ED7"/>
    <w:rsid w:val="733778B4"/>
    <w:rsid w:val="73492750"/>
    <w:rsid w:val="73583660"/>
    <w:rsid w:val="73616ABC"/>
    <w:rsid w:val="73747A59"/>
    <w:rsid w:val="73793139"/>
    <w:rsid w:val="737C448D"/>
    <w:rsid w:val="738A6BAD"/>
    <w:rsid w:val="73910F1F"/>
    <w:rsid w:val="739167DA"/>
    <w:rsid w:val="739943AC"/>
    <w:rsid w:val="73A75A3C"/>
    <w:rsid w:val="73D9051D"/>
    <w:rsid w:val="73E83652"/>
    <w:rsid w:val="73FC4A4A"/>
    <w:rsid w:val="73FF5865"/>
    <w:rsid w:val="740138BC"/>
    <w:rsid w:val="740F28E3"/>
    <w:rsid w:val="741E08BA"/>
    <w:rsid w:val="74566BC0"/>
    <w:rsid w:val="746213A9"/>
    <w:rsid w:val="74627923"/>
    <w:rsid w:val="746B6F6E"/>
    <w:rsid w:val="746E3821"/>
    <w:rsid w:val="749331F8"/>
    <w:rsid w:val="74AE53EF"/>
    <w:rsid w:val="74C04DD9"/>
    <w:rsid w:val="74CD648D"/>
    <w:rsid w:val="74E95DDF"/>
    <w:rsid w:val="750B44FF"/>
    <w:rsid w:val="75156208"/>
    <w:rsid w:val="751E2E09"/>
    <w:rsid w:val="75247D31"/>
    <w:rsid w:val="755A3D0D"/>
    <w:rsid w:val="756415E7"/>
    <w:rsid w:val="7565467F"/>
    <w:rsid w:val="75733191"/>
    <w:rsid w:val="75B15D73"/>
    <w:rsid w:val="75B72AFE"/>
    <w:rsid w:val="75C12B48"/>
    <w:rsid w:val="75CA44F0"/>
    <w:rsid w:val="75CB090F"/>
    <w:rsid w:val="75E056C5"/>
    <w:rsid w:val="760C7611"/>
    <w:rsid w:val="761A2389"/>
    <w:rsid w:val="76294F2E"/>
    <w:rsid w:val="7637442D"/>
    <w:rsid w:val="764F3F97"/>
    <w:rsid w:val="76533F31"/>
    <w:rsid w:val="76C30285"/>
    <w:rsid w:val="76CE62BA"/>
    <w:rsid w:val="76CF4F9B"/>
    <w:rsid w:val="76DA518C"/>
    <w:rsid w:val="76DC7579"/>
    <w:rsid w:val="76DD64E5"/>
    <w:rsid w:val="76F5080E"/>
    <w:rsid w:val="77014AB0"/>
    <w:rsid w:val="7703166D"/>
    <w:rsid w:val="7706282B"/>
    <w:rsid w:val="770A6ACB"/>
    <w:rsid w:val="770C145C"/>
    <w:rsid w:val="77152585"/>
    <w:rsid w:val="772A1CAA"/>
    <w:rsid w:val="773810BB"/>
    <w:rsid w:val="77446C5A"/>
    <w:rsid w:val="77540E6D"/>
    <w:rsid w:val="77793F2D"/>
    <w:rsid w:val="77873D98"/>
    <w:rsid w:val="779924F8"/>
    <w:rsid w:val="77B46FD8"/>
    <w:rsid w:val="77C05245"/>
    <w:rsid w:val="77D30A01"/>
    <w:rsid w:val="77D600B8"/>
    <w:rsid w:val="77DE5F22"/>
    <w:rsid w:val="77F05565"/>
    <w:rsid w:val="77F91A2C"/>
    <w:rsid w:val="78221902"/>
    <w:rsid w:val="78240954"/>
    <w:rsid w:val="78266A5C"/>
    <w:rsid w:val="78283EC4"/>
    <w:rsid w:val="78396D23"/>
    <w:rsid w:val="7847279C"/>
    <w:rsid w:val="785B43F7"/>
    <w:rsid w:val="7874511B"/>
    <w:rsid w:val="78757F27"/>
    <w:rsid w:val="78B33E11"/>
    <w:rsid w:val="78B50EF6"/>
    <w:rsid w:val="78C03D6C"/>
    <w:rsid w:val="78DA65F0"/>
    <w:rsid w:val="78E052AD"/>
    <w:rsid w:val="78E545A1"/>
    <w:rsid w:val="78E6461F"/>
    <w:rsid w:val="78F3391B"/>
    <w:rsid w:val="78F83160"/>
    <w:rsid w:val="78FF3D6A"/>
    <w:rsid w:val="790B086C"/>
    <w:rsid w:val="79134617"/>
    <w:rsid w:val="79145074"/>
    <w:rsid w:val="79385214"/>
    <w:rsid w:val="793F3B19"/>
    <w:rsid w:val="7942271A"/>
    <w:rsid w:val="7947125C"/>
    <w:rsid w:val="796A1D5E"/>
    <w:rsid w:val="796F5D76"/>
    <w:rsid w:val="79870F22"/>
    <w:rsid w:val="79943AB9"/>
    <w:rsid w:val="79C62691"/>
    <w:rsid w:val="79DA03A9"/>
    <w:rsid w:val="79DA492D"/>
    <w:rsid w:val="79DD7AD0"/>
    <w:rsid w:val="79F90AE4"/>
    <w:rsid w:val="79FE5DA4"/>
    <w:rsid w:val="7A0612E7"/>
    <w:rsid w:val="7A0C2386"/>
    <w:rsid w:val="7A0E5D0F"/>
    <w:rsid w:val="7A1E6313"/>
    <w:rsid w:val="7A374813"/>
    <w:rsid w:val="7A856247"/>
    <w:rsid w:val="7AA63430"/>
    <w:rsid w:val="7AB74E4D"/>
    <w:rsid w:val="7ABD4CCC"/>
    <w:rsid w:val="7ACC17B0"/>
    <w:rsid w:val="7AD122B2"/>
    <w:rsid w:val="7AEF43FB"/>
    <w:rsid w:val="7AF74FE2"/>
    <w:rsid w:val="7AFB6F18"/>
    <w:rsid w:val="7AFF2AD2"/>
    <w:rsid w:val="7B082C85"/>
    <w:rsid w:val="7B0E1942"/>
    <w:rsid w:val="7B0E1E5D"/>
    <w:rsid w:val="7B132E51"/>
    <w:rsid w:val="7B147694"/>
    <w:rsid w:val="7B2B31E3"/>
    <w:rsid w:val="7B301BB4"/>
    <w:rsid w:val="7B322EAB"/>
    <w:rsid w:val="7B50295A"/>
    <w:rsid w:val="7B5D7529"/>
    <w:rsid w:val="7B6C569A"/>
    <w:rsid w:val="7B6C5D42"/>
    <w:rsid w:val="7B6F22F1"/>
    <w:rsid w:val="7B9E1466"/>
    <w:rsid w:val="7BA44AA8"/>
    <w:rsid w:val="7BAD072B"/>
    <w:rsid w:val="7BB33E17"/>
    <w:rsid w:val="7BB77B08"/>
    <w:rsid w:val="7BBF6F3C"/>
    <w:rsid w:val="7BCE489C"/>
    <w:rsid w:val="7BE350C5"/>
    <w:rsid w:val="7BE94053"/>
    <w:rsid w:val="7BF251B3"/>
    <w:rsid w:val="7C0B707D"/>
    <w:rsid w:val="7C1C39F6"/>
    <w:rsid w:val="7C246366"/>
    <w:rsid w:val="7C4A66A3"/>
    <w:rsid w:val="7C6B6439"/>
    <w:rsid w:val="7C857990"/>
    <w:rsid w:val="7CA36890"/>
    <w:rsid w:val="7CB00413"/>
    <w:rsid w:val="7CF7204C"/>
    <w:rsid w:val="7D0435B4"/>
    <w:rsid w:val="7D0C0075"/>
    <w:rsid w:val="7D1A3401"/>
    <w:rsid w:val="7D381FDF"/>
    <w:rsid w:val="7D595A5D"/>
    <w:rsid w:val="7D620EB6"/>
    <w:rsid w:val="7D654D22"/>
    <w:rsid w:val="7D761672"/>
    <w:rsid w:val="7D8A4A33"/>
    <w:rsid w:val="7D8F3BD6"/>
    <w:rsid w:val="7D9974BB"/>
    <w:rsid w:val="7DC561F5"/>
    <w:rsid w:val="7DD25769"/>
    <w:rsid w:val="7DD515E3"/>
    <w:rsid w:val="7DDD05F7"/>
    <w:rsid w:val="7E07491E"/>
    <w:rsid w:val="7E0B7391"/>
    <w:rsid w:val="7E186A2E"/>
    <w:rsid w:val="7E283CBC"/>
    <w:rsid w:val="7E2863F5"/>
    <w:rsid w:val="7E2E0A50"/>
    <w:rsid w:val="7E30213D"/>
    <w:rsid w:val="7E3A27D9"/>
    <w:rsid w:val="7E3E6FF7"/>
    <w:rsid w:val="7E4145E0"/>
    <w:rsid w:val="7E4E46D3"/>
    <w:rsid w:val="7E600316"/>
    <w:rsid w:val="7E615519"/>
    <w:rsid w:val="7E906EED"/>
    <w:rsid w:val="7E963F11"/>
    <w:rsid w:val="7EA52844"/>
    <w:rsid w:val="7EA64900"/>
    <w:rsid w:val="7EA87894"/>
    <w:rsid w:val="7EB60168"/>
    <w:rsid w:val="7EBC4CAC"/>
    <w:rsid w:val="7ECC5631"/>
    <w:rsid w:val="7EDC280E"/>
    <w:rsid w:val="7EE50351"/>
    <w:rsid w:val="7EEA6A0F"/>
    <w:rsid w:val="7EFA0D76"/>
    <w:rsid w:val="7EFD2CD8"/>
    <w:rsid w:val="7EFF0079"/>
    <w:rsid w:val="7F6A4AA9"/>
    <w:rsid w:val="7F8406B3"/>
    <w:rsid w:val="7F993AE5"/>
    <w:rsid w:val="7F9D12F9"/>
    <w:rsid w:val="7FA421C8"/>
    <w:rsid w:val="7FDE1432"/>
    <w:rsid w:val="7FE224FE"/>
    <w:rsid w:val="7FFA00C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qFormat="1" w:unhideWhenUsed="0" w:uiPriority="99" w:semiHidden="0" w:name="List Bullet"/>
    <w:lsdException w:uiPriority="99" w:name="List Number"/>
    <w:lsdException w:uiPriority="99" w:name="List 2"/>
    <w:lsdException w:uiPriority="99" w:name="List 3"/>
    <w:lsdException w:uiPriority="99" w:name="List 4"/>
    <w:lsdException w:uiPriority="99"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qFormat="1" w:unhideWhenUsed="0" w:uiPriority="99" w:semiHidden="0"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5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60"/>
    <w:qFormat/>
    <w:uiPriority w:val="99"/>
    <w:pPr>
      <w:keepNext/>
      <w:keepLines/>
      <w:spacing w:before="260" w:after="260" w:line="416" w:lineRule="auto"/>
      <w:outlineLvl w:val="1"/>
    </w:pPr>
    <w:rPr>
      <w:rFonts w:ascii="Arial" w:hAnsi="Arial" w:eastAsia="黑体" w:cs="Arial"/>
      <w:b/>
      <w:bCs/>
      <w:sz w:val="32"/>
      <w:szCs w:val="32"/>
    </w:rPr>
  </w:style>
  <w:style w:type="paragraph" w:styleId="4">
    <w:name w:val="heading 3"/>
    <w:basedOn w:val="1"/>
    <w:next w:val="1"/>
    <w:link w:val="61"/>
    <w:qFormat/>
    <w:uiPriority w:val="99"/>
    <w:pPr>
      <w:keepNext/>
      <w:keepLines/>
      <w:spacing w:before="260" w:after="260" w:line="416" w:lineRule="auto"/>
      <w:outlineLvl w:val="2"/>
    </w:pPr>
    <w:rPr>
      <w:b/>
      <w:bCs/>
      <w:sz w:val="32"/>
      <w:szCs w:val="32"/>
    </w:rPr>
  </w:style>
  <w:style w:type="paragraph" w:styleId="5">
    <w:name w:val="heading 4"/>
    <w:basedOn w:val="1"/>
    <w:next w:val="1"/>
    <w:link w:val="62"/>
    <w:qFormat/>
    <w:uiPriority w:val="99"/>
    <w:pPr>
      <w:keepNext/>
      <w:keepLines/>
      <w:spacing w:before="280" w:after="290" w:line="376" w:lineRule="auto"/>
      <w:outlineLvl w:val="3"/>
    </w:pPr>
    <w:rPr>
      <w:rFonts w:ascii="Arial" w:hAnsi="Arial" w:eastAsia="黑体" w:cs="Arial"/>
      <w:b/>
      <w:bCs/>
      <w:sz w:val="28"/>
      <w:szCs w:val="28"/>
    </w:rPr>
  </w:style>
  <w:style w:type="paragraph" w:styleId="6">
    <w:name w:val="heading 5"/>
    <w:basedOn w:val="1"/>
    <w:next w:val="1"/>
    <w:link w:val="63"/>
    <w:qFormat/>
    <w:uiPriority w:val="99"/>
    <w:pPr>
      <w:keepNext/>
      <w:keepLines/>
      <w:spacing w:before="280" w:after="290" w:line="376" w:lineRule="auto"/>
      <w:outlineLvl w:val="4"/>
    </w:pPr>
    <w:rPr>
      <w:b/>
      <w:bCs/>
      <w:sz w:val="28"/>
      <w:szCs w:val="28"/>
    </w:rPr>
  </w:style>
  <w:style w:type="paragraph" w:styleId="7">
    <w:name w:val="heading 6"/>
    <w:basedOn w:val="1"/>
    <w:next w:val="1"/>
    <w:link w:val="64"/>
    <w:qFormat/>
    <w:uiPriority w:val="99"/>
    <w:pPr>
      <w:keepNext/>
      <w:keepLines/>
      <w:widowControl/>
      <w:tabs>
        <w:tab w:val="left" w:pos="1440"/>
      </w:tabs>
      <w:spacing w:before="240" w:after="64" w:line="320" w:lineRule="auto"/>
      <w:ind w:left="1152" w:hanging="1152"/>
      <w:jc w:val="left"/>
      <w:outlineLvl w:val="5"/>
    </w:pPr>
    <w:rPr>
      <w:rFonts w:ascii="Arial" w:hAnsi="Arial" w:eastAsia="黑体" w:cs="Arial"/>
      <w:b/>
      <w:bCs/>
      <w:kern w:val="0"/>
      <w:sz w:val="24"/>
      <w:szCs w:val="24"/>
    </w:rPr>
  </w:style>
  <w:style w:type="paragraph" w:styleId="8">
    <w:name w:val="heading 7"/>
    <w:basedOn w:val="1"/>
    <w:next w:val="1"/>
    <w:link w:val="65"/>
    <w:qFormat/>
    <w:uiPriority w:val="99"/>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9">
    <w:name w:val="heading 8"/>
    <w:basedOn w:val="1"/>
    <w:next w:val="1"/>
    <w:link w:val="66"/>
    <w:qFormat/>
    <w:uiPriority w:val="99"/>
    <w:pPr>
      <w:keepNext/>
      <w:keepLines/>
      <w:widowControl/>
      <w:tabs>
        <w:tab w:val="left" w:pos="1440"/>
      </w:tabs>
      <w:spacing w:before="240" w:after="64" w:line="320" w:lineRule="auto"/>
      <w:ind w:left="1440" w:hanging="1440"/>
      <w:jc w:val="left"/>
      <w:outlineLvl w:val="7"/>
    </w:pPr>
    <w:rPr>
      <w:rFonts w:ascii="Arial" w:hAnsi="Arial" w:eastAsia="黑体" w:cs="Arial"/>
      <w:kern w:val="0"/>
      <w:sz w:val="24"/>
      <w:szCs w:val="24"/>
    </w:rPr>
  </w:style>
  <w:style w:type="paragraph" w:styleId="10">
    <w:name w:val="heading 9"/>
    <w:basedOn w:val="1"/>
    <w:next w:val="1"/>
    <w:link w:val="67"/>
    <w:qFormat/>
    <w:uiPriority w:val="99"/>
    <w:pPr>
      <w:keepNext/>
      <w:keepLines/>
      <w:widowControl/>
      <w:tabs>
        <w:tab w:val="left" w:pos="1584"/>
      </w:tabs>
      <w:spacing w:before="240" w:after="64" w:line="320" w:lineRule="auto"/>
      <w:ind w:left="1584" w:hanging="1584"/>
      <w:jc w:val="left"/>
      <w:outlineLvl w:val="8"/>
    </w:pPr>
    <w:rPr>
      <w:rFonts w:ascii="Arial" w:hAnsi="Arial" w:eastAsia="黑体" w:cs="Arial"/>
      <w:kern w:val="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99"/>
    <w:pPr>
      <w:ind w:left="2520" w:leftChars="1200"/>
    </w:pPr>
  </w:style>
  <w:style w:type="paragraph" w:styleId="12">
    <w:name w:val="List Bullet 4"/>
    <w:basedOn w:val="1"/>
    <w:qFormat/>
    <w:uiPriority w:val="99"/>
    <w:pPr>
      <w:tabs>
        <w:tab w:val="left" w:pos="1620"/>
      </w:tabs>
      <w:ind w:left="1620" w:leftChars="600" w:hanging="360" w:hangingChars="200"/>
    </w:pPr>
  </w:style>
  <w:style w:type="paragraph" w:styleId="13">
    <w:name w:val="Normal Indent"/>
    <w:basedOn w:val="1"/>
    <w:link w:val="87"/>
    <w:qFormat/>
    <w:uiPriority w:val="99"/>
    <w:pPr>
      <w:ind w:firstLine="420" w:firstLineChars="200"/>
    </w:pPr>
  </w:style>
  <w:style w:type="paragraph" w:styleId="14">
    <w:name w:val="caption"/>
    <w:basedOn w:val="1"/>
    <w:next w:val="1"/>
    <w:qFormat/>
    <w:uiPriority w:val="99"/>
    <w:pPr>
      <w:keepNext/>
      <w:adjustRightInd w:val="0"/>
      <w:snapToGrid w:val="0"/>
      <w:spacing w:after="120"/>
      <w:jc w:val="center"/>
    </w:pPr>
    <w:rPr>
      <w:rFonts w:ascii="Arial" w:hAnsi="Arial" w:eastAsia="黑体" w:cs="Arial"/>
      <w:sz w:val="20"/>
      <w:szCs w:val="20"/>
    </w:rPr>
  </w:style>
  <w:style w:type="paragraph" w:styleId="15">
    <w:name w:val="List Bullet"/>
    <w:basedOn w:val="1"/>
    <w:qFormat/>
    <w:uiPriority w:val="99"/>
    <w:pPr>
      <w:tabs>
        <w:tab w:val="left" w:pos="360"/>
      </w:tabs>
      <w:ind w:left="360" w:hanging="360" w:hangingChars="200"/>
    </w:pPr>
  </w:style>
  <w:style w:type="paragraph" w:styleId="16">
    <w:name w:val="Document Map"/>
    <w:basedOn w:val="1"/>
    <w:link w:val="71"/>
    <w:semiHidden/>
    <w:qFormat/>
    <w:uiPriority w:val="99"/>
    <w:pPr>
      <w:shd w:val="clear" w:color="auto" w:fill="000080"/>
    </w:pPr>
  </w:style>
  <w:style w:type="paragraph" w:styleId="17">
    <w:name w:val="annotation text"/>
    <w:basedOn w:val="1"/>
    <w:link w:val="68"/>
    <w:semiHidden/>
    <w:qFormat/>
    <w:uiPriority w:val="99"/>
    <w:pPr>
      <w:jc w:val="left"/>
    </w:pPr>
  </w:style>
  <w:style w:type="paragraph" w:styleId="18">
    <w:name w:val="Body Text 3"/>
    <w:basedOn w:val="1"/>
    <w:link w:val="72"/>
    <w:qFormat/>
    <w:uiPriority w:val="99"/>
    <w:rPr>
      <w:rFonts w:ascii="宋体" w:cs="宋体"/>
      <w:sz w:val="24"/>
      <w:szCs w:val="24"/>
    </w:rPr>
  </w:style>
  <w:style w:type="paragraph" w:styleId="19">
    <w:name w:val="List Bullet 3"/>
    <w:basedOn w:val="1"/>
    <w:qFormat/>
    <w:uiPriority w:val="99"/>
    <w:pPr>
      <w:tabs>
        <w:tab w:val="left" w:pos="1200"/>
      </w:tabs>
      <w:ind w:left="1200" w:leftChars="400" w:hanging="360" w:hangingChars="200"/>
    </w:pPr>
  </w:style>
  <w:style w:type="paragraph" w:styleId="20">
    <w:name w:val="Body Text"/>
    <w:basedOn w:val="1"/>
    <w:next w:val="1"/>
    <w:link w:val="73"/>
    <w:qFormat/>
    <w:uiPriority w:val="99"/>
    <w:pPr>
      <w:spacing w:after="120"/>
    </w:pPr>
  </w:style>
  <w:style w:type="paragraph" w:styleId="21">
    <w:name w:val="Body Text Indent"/>
    <w:basedOn w:val="1"/>
    <w:link w:val="74"/>
    <w:qFormat/>
    <w:uiPriority w:val="99"/>
    <w:pPr>
      <w:spacing w:after="120"/>
      <w:ind w:left="420" w:leftChars="200"/>
    </w:pPr>
  </w:style>
  <w:style w:type="paragraph" w:styleId="22">
    <w:name w:val="Block Text"/>
    <w:basedOn w:val="1"/>
    <w:qFormat/>
    <w:uiPriority w:val="99"/>
    <w:pPr>
      <w:adjustRightInd w:val="0"/>
      <w:spacing w:line="360" w:lineRule="auto"/>
      <w:ind w:left="1560" w:right="1466" w:hanging="240"/>
      <w:textAlignment w:val="baseline"/>
    </w:pPr>
    <w:rPr>
      <w:rFonts w:ascii="宋体" w:cs="宋体"/>
      <w:color w:val="000000"/>
      <w:kern w:val="0"/>
      <w:position w:val="-6"/>
      <w:sz w:val="32"/>
      <w:szCs w:val="32"/>
    </w:rPr>
  </w:style>
  <w:style w:type="paragraph" w:styleId="23">
    <w:name w:val="List Bullet 2"/>
    <w:basedOn w:val="1"/>
    <w:qFormat/>
    <w:uiPriority w:val="99"/>
    <w:pPr>
      <w:tabs>
        <w:tab w:val="left" w:pos="780"/>
      </w:tabs>
      <w:ind w:left="780" w:leftChars="200" w:hanging="360" w:hangingChars="200"/>
    </w:pPr>
  </w:style>
  <w:style w:type="paragraph" w:styleId="24">
    <w:name w:val="toc 5"/>
    <w:basedOn w:val="1"/>
    <w:next w:val="1"/>
    <w:semiHidden/>
    <w:qFormat/>
    <w:uiPriority w:val="99"/>
    <w:pPr>
      <w:ind w:left="1680" w:leftChars="800"/>
    </w:pPr>
  </w:style>
  <w:style w:type="paragraph" w:styleId="25">
    <w:name w:val="toc 3"/>
    <w:basedOn w:val="1"/>
    <w:next w:val="1"/>
    <w:semiHidden/>
    <w:qFormat/>
    <w:uiPriority w:val="99"/>
    <w:pPr>
      <w:ind w:left="840" w:leftChars="400"/>
    </w:pPr>
  </w:style>
  <w:style w:type="paragraph" w:styleId="26">
    <w:name w:val="Plain Text"/>
    <w:basedOn w:val="1"/>
    <w:link w:val="75"/>
    <w:qFormat/>
    <w:uiPriority w:val="99"/>
    <w:pPr>
      <w:spacing w:line="360" w:lineRule="auto"/>
    </w:pPr>
    <w:rPr>
      <w:rFonts w:ascii="宋体" w:hAnsi="Courier New" w:cs="宋体"/>
      <w:sz w:val="24"/>
      <w:szCs w:val="24"/>
    </w:rPr>
  </w:style>
  <w:style w:type="paragraph" w:styleId="27">
    <w:name w:val="List Bullet 5"/>
    <w:basedOn w:val="1"/>
    <w:qFormat/>
    <w:uiPriority w:val="99"/>
    <w:pPr>
      <w:tabs>
        <w:tab w:val="left" w:pos="2040"/>
      </w:tabs>
      <w:ind w:left="2040" w:leftChars="800" w:hanging="360" w:hangingChars="200"/>
    </w:pPr>
  </w:style>
  <w:style w:type="paragraph" w:styleId="28">
    <w:name w:val="toc 8"/>
    <w:basedOn w:val="1"/>
    <w:next w:val="1"/>
    <w:semiHidden/>
    <w:qFormat/>
    <w:uiPriority w:val="99"/>
    <w:pPr>
      <w:spacing w:beforeLines="50" w:afterLines="50"/>
      <w:jc w:val="center"/>
    </w:pPr>
    <w:rPr>
      <w:rFonts w:eastAsia="黑体"/>
      <w:sz w:val="36"/>
      <w:szCs w:val="36"/>
    </w:rPr>
  </w:style>
  <w:style w:type="paragraph" w:styleId="29">
    <w:name w:val="Date"/>
    <w:basedOn w:val="1"/>
    <w:next w:val="1"/>
    <w:link w:val="76"/>
    <w:qFormat/>
    <w:uiPriority w:val="99"/>
    <w:rPr>
      <w:sz w:val="24"/>
      <w:szCs w:val="24"/>
    </w:rPr>
  </w:style>
  <w:style w:type="paragraph" w:styleId="30">
    <w:name w:val="Body Text Indent 2"/>
    <w:basedOn w:val="1"/>
    <w:link w:val="77"/>
    <w:qFormat/>
    <w:uiPriority w:val="99"/>
    <w:pPr>
      <w:spacing w:after="120" w:line="480" w:lineRule="auto"/>
      <w:ind w:left="420" w:leftChars="200"/>
    </w:pPr>
  </w:style>
  <w:style w:type="paragraph" w:styleId="31">
    <w:name w:val="Balloon Text"/>
    <w:basedOn w:val="1"/>
    <w:link w:val="78"/>
    <w:semiHidden/>
    <w:qFormat/>
    <w:uiPriority w:val="99"/>
    <w:rPr>
      <w:sz w:val="18"/>
      <w:szCs w:val="18"/>
    </w:rPr>
  </w:style>
  <w:style w:type="paragraph" w:styleId="32">
    <w:name w:val="footer"/>
    <w:basedOn w:val="1"/>
    <w:link w:val="79"/>
    <w:qFormat/>
    <w:uiPriority w:val="99"/>
    <w:pPr>
      <w:tabs>
        <w:tab w:val="center" w:pos="4153"/>
        <w:tab w:val="right" w:pos="8306"/>
      </w:tabs>
      <w:snapToGrid w:val="0"/>
      <w:jc w:val="left"/>
    </w:pPr>
    <w:rPr>
      <w:sz w:val="18"/>
      <w:szCs w:val="18"/>
    </w:rPr>
  </w:style>
  <w:style w:type="paragraph" w:styleId="33">
    <w:name w:val="header"/>
    <w:basedOn w:val="1"/>
    <w:link w:val="80"/>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semiHidden/>
    <w:qFormat/>
    <w:uiPriority w:val="99"/>
    <w:pPr>
      <w:spacing w:line="440" w:lineRule="exact"/>
      <w:jc w:val="center"/>
    </w:pPr>
  </w:style>
  <w:style w:type="paragraph" w:styleId="35">
    <w:name w:val="toc 4"/>
    <w:basedOn w:val="1"/>
    <w:next w:val="1"/>
    <w:semiHidden/>
    <w:qFormat/>
    <w:uiPriority w:val="99"/>
    <w:pPr>
      <w:ind w:left="1260" w:leftChars="600"/>
    </w:pPr>
  </w:style>
  <w:style w:type="paragraph" w:styleId="36">
    <w:name w:val="List"/>
    <w:basedOn w:val="1"/>
    <w:qFormat/>
    <w:uiPriority w:val="99"/>
    <w:pPr>
      <w:ind w:left="200" w:hanging="200" w:hangingChars="200"/>
    </w:pPr>
  </w:style>
  <w:style w:type="paragraph" w:styleId="37">
    <w:name w:val="footnote text"/>
    <w:basedOn w:val="1"/>
    <w:link w:val="70"/>
    <w:semiHidden/>
    <w:qFormat/>
    <w:uiPriority w:val="99"/>
    <w:pPr>
      <w:snapToGrid w:val="0"/>
      <w:jc w:val="left"/>
    </w:pPr>
    <w:rPr>
      <w:sz w:val="18"/>
      <w:szCs w:val="18"/>
    </w:rPr>
  </w:style>
  <w:style w:type="paragraph" w:styleId="38">
    <w:name w:val="toc 6"/>
    <w:basedOn w:val="1"/>
    <w:next w:val="1"/>
    <w:semiHidden/>
    <w:qFormat/>
    <w:uiPriority w:val="99"/>
    <w:pPr>
      <w:ind w:left="2100" w:leftChars="1000"/>
    </w:pPr>
  </w:style>
  <w:style w:type="paragraph" w:styleId="39">
    <w:name w:val="Body Text Indent 3"/>
    <w:basedOn w:val="1"/>
    <w:link w:val="81"/>
    <w:qFormat/>
    <w:uiPriority w:val="99"/>
    <w:pPr>
      <w:spacing w:after="120"/>
      <w:ind w:left="420" w:leftChars="200"/>
    </w:pPr>
    <w:rPr>
      <w:sz w:val="16"/>
      <w:szCs w:val="16"/>
    </w:rPr>
  </w:style>
  <w:style w:type="paragraph" w:styleId="40">
    <w:name w:val="toc 2"/>
    <w:basedOn w:val="1"/>
    <w:next w:val="1"/>
    <w:semiHidden/>
    <w:qFormat/>
    <w:uiPriority w:val="99"/>
    <w:pPr>
      <w:ind w:left="420" w:leftChars="200"/>
    </w:pPr>
  </w:style>
  <w:style w:type="paragraph" w:styleId="41">
    <w:name w:val="toc 9"/>
    <w:basedOn w:val="1"/>
    <w:next w:val="1"/>
    <w:semiHidden/>
    <w:qFormat/>
    <w:uiPriority w:val="99"/>
    <w:pPr>
      <w:ind w:left="3360" w:leftChars="1600"/>
    </w:pPr>
  </w:style>
  <w:style w:type="paragraph" w:styleId="42">
    <w:name w:val="Body Text 2"/>
    <w:basedOn w:val="1"/>
    <w:link w:val="82"/>
    <w:qFormat/>
    <w:uiPriority w:val="99"/>
    <w:pPr>
      <w:spacing w:after="120" w:line="480" w:lineRule="auto"/>
    </w:pPr>
  </w:style>
  <w:style w:type="paragraph" w:styleId="43">
    <w:name w:val="HTML Preformatted"/>
    <w:basedOn w:val="1"/>
    <w:link w:val="8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黑体"/>
      <w:kern w:val="0"/>
      <w:sz w:val="20"/>
      <w:szCs w:val="20"/>
    </w:rPr>
  </w:style>
  <w:style w:type="paragraph" w:styleId="4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5">
    <w:name w:val="index 1"/>
    <w:basedOn w:val="1"/>
    <w:next w:val="1"/>
    <w:semiHidden/>
    <w:qFormat/>
    <w:uiPriority w:val="99"/>
    <w:pPr>
      <w:spacing w:line="220" w:lineRule="exact"/>
      <w:jc w:val="center"/>
    </w:pPr>
    <w:rPr>
      <w:rFonts w:ascii="仿宋_GB2312" w:eastAsia="仿宋_GB2312" w:cs="仿宋_GB2312"/>
    </w:rPr>
  </w:style>
  <w:style w:type="paragraph" w:styleId="46">
    <w:name w:val="Title"/>
    <w:basedOn w:val="1"/>
    <w:link w:val="84"/>
    <w:qFormat/>
    <w:uiPriority w:val="99"/>
    <w:pPr>
      <w:adjustRightInd w:val="0"/>
      <w:spacing w:before="240" w:after="60" w:line="420" w:lineRule="atLeast"/>
      <w:jc w:val="center"/>
      <w:textAlignment w:val="baseline"/>
      <w:outlineLvl w:val="0"/>
    </w:pPr>
    <w:rPr>
      <w:rFonts w:ascii="Arial" w:hAnsi="Arial" w:cs="Arial"/>
      <w:b/>
      <w:bCs/>
      <w:kern w:val="0"/>
      <w:sz w:val="32"/>
      <w:szCs w:val="32"/>
    </w:rPr>
  </w:style>
  <w:style w:type="paragraph" w:styleId="47">
    <w:name w:val="annotation subject"/>
    <w:basedOn w:val="17"/>
    <w:next w:val="17"/>
    <w:link w:val="69"/>
    <w:semiHidden/>
    <w:qFormat/>
    <w:uiPriority w:val="99"/>
    <w:rPr>
      <w:b/>
      <w:bCs/>
    </w:r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22"/>
    <w:rPr>
      <w:b/>
      <w:bCs/>
    </w:rPr>
  </w:style>
  <w:style w:type="character" w:styleId="52">
    <w:name w:val="page number"/>
    <w:basedOn w:val="50"/>
    <w:qFormat/>
    <w:uiPriority w:val="99"/>
  </w:style>
  <w:style w:type="character" w:styleId="53">
    <w:name w:val="FollowedHyperlink"/>
    <w:qFormat/>
    <w:uiPriority w:val="99"/>
    <w:rPr>
      <w:color w:val="800080"/>
      <w:u w:val="single"/>
    </w:rPr>
  </w:style>
  <w:style w:type="character" w:styleId="54">
    <w:name w:val="Emphasis"/>
    <w:qFormat/>
    <w:uiPriority w:val="99"/>
    <w:rPr>
      <w:color w:val="auto"/>
    </w:rPr>
  </w:style>
  <w:style w:type="character" w:styleId="55">
    <w:name w:val="HTML Definition"/>
    <w:basedOn w:val="50"/>
    <w:qFormat/>
    <w:uiPriority w:val="99"/>
  </w:style>
  <w:style w:type="character" w:styleId="56">
    <w:name w:val="Hyperlink"/>
    <w:qFormat/>
    <w:uiPriority w:val="99"/>
    <w:rPr>
      <w:color w:val="0000FF"/>
      <w:u w:val="single"/>
    </w:rPr>
  </w:style>
  <w:style w:type="character" w:styleId="57">
    <w:name w:val="annotation reference"/>
    <w:semiHidden/>
    <w:qFormat/>
    <w:uiPriority w:val="99"/>
    <w:rPr>
      <w:sz w:val="21"/>
      <w:szCs w:val="21"/>
    </w:rPr>
  </w:style>
  <w:style w:type="character" w:styleId="58">
    <w:name w:val="footnote reference"/>
    <w:basedOn w:val="50"/>
    <w:semiHidden/>
    <w:qFormat/>
    <w:uiPriority w:val="99"/>
    <w:rPr>
      <w:vertAlign w:val="superscript"/>
    </w:rPr>
  </w:style>
  <w:style w:type="character" w:customStyle="1" w:styleId="59">
    <w:name w:val="标题 1 Char"/>
    <w:link w:val="2"/>
    <w:qFormat/>
    <w:uiPriority w:val="0"/>
    <w:rPr>
      <w:rFonts w:eastAsia="宋体"/>
      <w:b/>
      <w:bCs/>
      <w:kern w:val="44"/>
      <w:sz w:val="44"/>
      <w:szCs w:val="44"/>
      <w:lang w:val="en-US" w:eastAsia="zh-CN"/>
    </w:rPr>
  </w:style>
  <w:style w:type="character" w:customStyle="1" w:styleId="60">
    <w:name w:val="标题 2 Char1"/>
    <w:link w:val="3"/>
    <w:qFormat/>
    <w:uiPriority w:val="99"/>
    <w:rPr>
      <w:rFonts w:ascii="Arial" w:hAnsi="Arial" w:eastAsia="黑体" w:cs="Arial"/>
      <w:b/>
      <w:bCs/>
      <w:kern w:val="2"/>
      <w:sz w:val="32"/>
      <w:szCs w:val="32"/>
      <w:lang w:val="en-US" w:eastAsia="zh-CN"/>
    </w:rPr>
  </w:style>
  <w:style w:type="character" w:customStyle="1" w:styleId="61">
    <w:name w:val="标题 3 Char1"/>
    <w:link w:val="4"/>
    <w:qFormat/>
    <w:uiPriority w:val="99"/>
    <w:rPr>
      <w:rFonts w:eastAsia="宋体"/>
      <w:b/>
      <w:bCs/>
      <w:kern w:val="2"/>
      <w:sz w:val="32"/>
      <w:szCs w:val="32"/>
      <w:lang w:val="en-US" w:eastAsia="zh-CN"/>
    </w:rPr>
  </w:style>
  <w:style w:type="character" w:customStyle="1" w:styleId="62">
    <w:name w:val="标题 4 Char1"/>
    <w:link w:val="5"/>
    <w:qFormat/>
    <w:uiPriority w:val="99"/>
    <w:rPr>
      <w:rFonts w:ascii="Arial" w:hAnsi="Arial" w:eastAsia="黑体" w:cs="Arial"/>
      <w:b/>
      <w:bCs/>
      <w:kern w:val="2"/>
      <w:sz w:val="28"/>
      <w:szCs w:val="28"/>
      <w:lang w:val="en-US" w:eastAsia="zh-CN"/>
    </w:rPr>
  </w:style>
  <w:style w:type="character" w:customStyle="1" w:styleId="63">
    <w:name w:val="标题 5 Char"/>
    <w:link w:val="6"/>
    <w:qFormat/>
    <w:uiPriority w:val="99"/>
    <w:rPr>
      <w:rFonts w:eastAsia="宋体"/>
      <w:b/>
      <w:bCs/>
      <w:kern w:val="2"/>
      <w:sz w:val="28"/>
      <w:szCs w:val="28"/>
      <w:lang w:val="en-US" w:eastAsia="zh-CN"/>
    </w:rPr>
  </w:style>
  <w:style w:type="character" w:customStyle="1" w:styleId="64">
    <w:name w:val="标题 6 Char1"/>
    <w:link w:val="7"/>
    <w:qFormat/>
    <w:uiPriority w:val="99"/>
    <w:rPr>
      <w:rFonts w:ascii="Arial" w:hAnsi="Arial" w:eastAsia="黑体" w:cs="Arial"/>
      <w:b/>
      <w:bCs/>
      <w:sz w:val="24"/>
      <w:szCs w:val="24"/>
      <w:lang w:val="en-US" w:eastAsia="zh-CN"/>
    </w:rPr>
  </w:style>
  <w:style w:type="character" w:customStyle="1" w:styleId="65">
    <w:name w:val="标题 7 Char"/>
    <w:link w:val="8"/>
    <w:qFormat/>
    <w:uiPriority w:val="99"/>
    <w:rPr>
      <w:rFonts w:eastAsia="宋体"/>
      <w:b/>
      <w:bCs/>
      <w:sz w:val="24"/>
      <w:szCs w:val="24"/>
      <w:lang w:val="en-US" w:eastAsia="zh-CN"/>
    </w:rPr>
  </w:style>
  <w:style w:type="character" w:customStyle="1" w:styleId="66">
    <w:name w:val="标题 8 Char"/>
    <w:link w:val="9"/>
    <w:qFormat/>
    <w:uiPriority w:val="99"/>
    <w:rPr>
      <w:rFonts w:ascii="Arial" w:hAnsi="Arial" w:eastAsia="黑体" w:cs="Arial"/>
      <w:sz w:val="24"/>
      <w:szCs w:val="24"/>
      <w:lang w:val="en-US" w:eastAsia="zh-CN"/>
    </w:rPr>
  </w:style>
  <w:style w:type="character" w:customStyle="1" w:styleId="67">
    <w:name w:val="标题 9 Char"/>
    <w:link w:val="10"/>
    <w:semiHidden/>
    <w:qFormat/>
    <w:uiPriority w:val="99"/>
    <w:rPr>
      <w:rFonts w:ascii="Cambria" w:hAnsi="Cambria" w:eastAsia="宋体" w:cs="Cambria"/>
      <w:sz w:val="21"/>
      <w:szCs w:val="21"/>
    </w:rPr>
  </w:style>
  <w:style w:type="character" w:customStyle="1" w:styleId="68">
    <w:name w:val="批注文字 Char"/>
    <w:link w:val="17"/>
    <w:semiHidden/>
    <w:qFormat/>
    <w:uiPriority w:val="99"/>
    <w:rPr>
      <w:sz w:val="24"/>
      <w:szCs w:val="24"/>
    </w:rPr>
  </w:style>
  <w:style w:type="character" w:customStyle="1" w:styleId="69">
    <w:name w:val="批注主题 Char"/>
    <w:link w:val="47"/>
    <w:qFormat/>
    <w:uiPriority w:val="99"/>
    <w:rPr>
      <w:rFonts w:eastAsia="宋体"/>
      <w:b/>
      <w:bCs/>
      <w:kern w:val="2"/>
      <w:sz w:val="24"/>
      <w:szCs w:val="24"/>
      <w:lang w:val="en-US" w:eastAsia="zh-CN"/>
    </w:rPr>
  </w:style>
  <w:style w:type="character" w:customStyle="1" w:styleId="70">
    <w:name w:val="脚注文本 Char"/>
    <w:link w:val="37"/>
    <w:semiHidden/>
    <w:qFormat/>
    <w:uiPriority w:val="99"/>
    <w:rPr>
      <w:rFonts w:eastAsia="宋体"/>
      <w:kern w:val="2"/>
      <w:sz w:val="18"/>
      <w:szCs w:val="18"/>
      <w:lang w:val="en-US" w:eastAsia="zh-CN"/>
    </w:rPr>
  </w:style>
  <w:style w:type="character" w:customStyle="1" w:styleId="71">
    <w:name w:val="文档结构图 Char"/>
    <w:link w:val="16"/>
    <w:semiHidden/>
    <w:qFormat/>
    <w:uiPriority w:val="99"/>
    <w:rPr>
      <w:rFonts w:eastAsia="宋体"/>
      <w:kern w:val="2"/>
      <w:sz w:val="24"/>
      <w:szCs w:val="24"/>
      <w:lang w:val="en-US" w:eastAsia="zh-CN"/>
    </w:rPr>
  </w:style>
  <w:style w:type="character" w:customStyle="1" w:styleId="72">
    <w:name w:val="正文文本 3 Char1"/>
    <w:link w:val="18"/>
    <w:qFormat/>
    <w:uiPriority w:val="99"/>
    <w:rPr>
      <w:rFonts w:ascii="宋体" w:eastAsia="宋体" w:cs="宋体"/>
      <w:kern w:val="2"/>
      <w:sz w:val="24"/>
      <w:szCs w:val="24"/>
      <w:lang w:val="en-US" w:eastAsia="zh-CN"/>
    </w:rPr>
  </w:style>
  <w:style w:type="character" w:customStyle="1" w:styleId="73">
    <w:name w:val="正文文本 Char"/>
    <w:link w:val="20"/>
    <w:semiHidden/>
    <w:qFormat/>
    <w:uiPriority w:val="99"/>
    <w:rPr>
      <w:sz w:val="24"/>
      <w:szCs w:val="24"/>
    </w:rPr>
  </w:style>
  <w:style w:type="character" w:customStyle="1" w:styleId="74">
    <w:name w:val="正文文本缩进 Char"/>
    <w:link w:val="21"/>
    <w:qFormat/>
    <w:uiPriority w:val="99"/>
    <w:rPr>
      <w:rFonts w:eastAsia="宋体"/>
      <w:kern w:val="2"/>
      <w:sz w:val="24"/>
      <w:szCs w:val="24"/>
      <w:lang w:val="en-US" w:eastAsia="zh-CN"/>
    </w:rPr>
  </w:style>
  <w:style w:type="character" w:customStyle="1" w:styleId="75">
    <w:name w:val="纯文本 Char"/>
    <w:link w:val="26"/>
    <w:qFormat/>
    <w:uiPriority w:val="99"/>
    <w:rPr>
      <w:rFonts w:ascii="宋体" w:hAnsi="Courier New" w:eastAsia="宋体" w:cs="宋体"/>
      <w:kern w:val="2"/>
      <w:sz w:val="21"/>
      <w:szCs w:val="21"/>
      <w:lang w:val="en-US" w:eastAsia="zh-CN"/>
    </w:rPr>
  </w:style>
  <w:style w:type="character" w:customStyle="1" w:styleId="76">
    <w:name w:val="日期 Char"/>
    <w:link w:val="29"/>
    <w:qFormat/>
    <w:uiPriority w:val="99"/>
    <w:rPr>
      <w:rFonts w:eastAsia="宋体"/>
      <w:kern w:val="2"/>
      <w:sz w:val="24"/>
      <w:szCs w:val="24"/>
      <w:lang w:val="en-US" w:eastAsia="zh-CN"/>
    </w:rPr>
  </w:style>
  <w:style w:type="character" w:customStyle="1" w:styleId="77">
    <w:name w:val="正文文本缩进 2 Char"/>
    <w:link w:val="30"/>
    <w:semiHidden/>
    <w:qFormat/>
    <w:uiPriority w:val="99"/>
    <w:rPr>
      <w:sz w:val="24"/>
      <w:szCs w:val="24"/>
    </w:rPr>
  </w:style>
  <w:style w:type="character" w:customStyle="1" w:styleId="78">
    <w:name w:val="批注框文本 Char"/>
    <w:link w:val="31"/>
    <w:qFormat/>
    <w:uiPriority w:val="99"/>
    <w:rPr>
      <w:rFonts w:eastAsia="宋体"/>
      <w:kern w:val="2"/>
      <w:sz w:val="18"/>
      <w:szCs w:val="18"/>
      <w:lang w:val="en-US" w:eastAsia="zh-CN"/>
    </w:rPr>
  </w:style>
  <w:style w:type="character" w:customStyle="1" w:styleId="79">
    <w:name w:val="页脚 Char"/>
    <w:link w:val="32"/>
    <w:qFormat/>
    <w:uiPriority w:val="99"/>
    <w:rPr>
      <w:rFonts w:eastAsia="宋体"/>
      <w:kern w:val="2"/>
      <w:sz w:val="18"/>
      <w:szCs w:val="18"/>
      <w:lang w:val="en-US" w:eastAsia="zh-CN"/>
    </w:rPr>
  </w:style>
  <w:style w:type="character" w:customStyle="1" w:styleId="80">
    <w:name w:val="页眉 Char"/>
    <w:link w:val="33"/>
    <w:qFormat/>
    <w:uiPriority w:val="99"/>
    <w:rPr>
      <w:rFonts w:eastAsia="宋体"/>
      <w:kern w:val="2"/>
      <w:sz w:val="18"/>
      <w:szCs w:val="18"/>
      <w:lang w:val="en-US" w:eastAsia="zh-CN"/>
    </w:rPr>
  </w:style>
  <w:style w:type="character" w:customStyle="1" w:styleId="81">
    <w:name w:val="正文文本缩进 3 Char"/>
    <w:link w:val="39"/>
    <w:semiHidden/>
    <w:qFormat/>
    <w:uiPriority w:val="99"/>
    <w:rPr>
      <w:sz w:val="16"/>
      <w:szCs w:val="16"/>
    </w:rPr>
  </w:style>
  <w:style w:type="character" w:customStyle="1" w:styleId="82">
    <w:name w:val="正文文本 2 Char"/>
    <w:link w:val="42"/>
    <w:semiHidden/>
    <w:qFormat/>
    <w:uiPriority w:val="99"/>
    <w:rPr>
      <w:sz w:val="24"/>
      <w:szCs w:val="24"/>
    </w:rPr>
  </w:style>
  <w:style w:type="character" w:customStyle="1" w:styleId="83">
    <w:name w:val="HTML 预设格式 Char"/>
    <w:link w:val="43"/>
    <w:semiHidden/>
    <w:qFormat/>
    <w:uiPriority w:val="99"/>
    <w:rPr>
      <w:rFonts w:ascii="Courier New" w:hAnsi="Courier New" w:cs="Courier New"/>
      <w:sz w:val="20"/>
      <w:szCs w:val="20"/>
    </w:rPr>
  </w:style>
  <w:style w:type="character" w:customStyle="1" w:styleId="84">
    <w:name w:val="标题 Char"/>
    <w:link w:val="46"/>
    <w:qFormat/>
    <w:uiPriority w:val="99"/>
    <w:rPr>
      <w:rFonts w:ascii="Cambria" w:hAnsi="Cambria" w:cs="Cambria"/>
      <w:b/>
      <w:bCs/>
      <w:sz w:val="32"/>
      <w:szCs w:val="32"/>
    </w:rPr>
  </w:style>
  <w:style w:type="character" w:customStyle="1" w:styleId="85">
    <w:name w:val="Char Char23"/>
    <w:qFormat/>
    <w:uiPriority w:val="99"/>
    <w:rPr>
      <w:rFonts w:eastAsia="宋体"/>
      <w:b/>
      <w:bCs/>
      <w:kern w:val="44"/>
      <w:sz w:val="44"/>
      <w:szCs w:val="44"/>
      <w:lang w:val="en-US" w:eastAsia="zh-CN"/>
    </w:rPr>
  </w:style>
  <w:style w:type="character" w:customStyle="1" w:styleId="86">
    <w:name w:val="Char Char15"/>
    <w:qFormat/>
    <w:uiPriority w:val="99"/>
    <w:rPr>
      <w:rFonts w:ascii="黑体" w:hAnsi="Arial" w:eastAsia="黑体" w:cs="黑体"/>
      <w:kern w:val="0"/>
      <w:sz w:val="20"/>
      <w:szCs w:val="20"/>
    </w:rPr>
  </w:style>
  <w:style w:type="character" w:customStyle="1" w:styleId="87">
    <w:name w:val="正文缩进 Char1"/>
    <w:link w:val="13"/>
    <w:qFormat/>
    <w:uiPriority w:val="99"/>
    <w:rPr>
      <w:rFonts w:eastAsia="宋体"/>
      <w:kern w:val="2"/>
      <w:sz w:val="24"/>
      <w:szCs w:val="24"/>
      <w:lang w:val="en-US" w:eastAsia="zh-CN"/>
    </w:rPr>
  </w:style>
  <w:style w:type="character" w:customStyle="1" w:styleId="88">
    <w:name w:val="zw123 Char"/>
    <w:link w:val="89"/>
    <w:qFormat/>
    <w:uiPriority w:val="99"/>
    <w:rPr>
      <w:rFonts w:ascii="宋体" w:hAnsi="宋体" w:eastAsia="宋体" w:cs="宋体"/>
      <w:kern w:val="2"/>
      <w:sz w:val="22"/>
      <w:szCs w:val="22"/>
    </w:rPr>
  </w:style>
  <w:style w:type="paragraph" w:customStyle="1" w:styleId="89">
    <w:name w:val="zw123"/>
    <w:basedOn w:val="1"/>
    <w:link w:val="88"/>
    <w:qFormat/>
    <w:uiPriority w:val="99"/>
    <w:pPr>
      <w:autoSpaceDE w:val="0"/>
      <w:autoSpaceDN w:val="0"/>
      <w:adjustRightInd w:val="0"/>
      <w:spacing w:line="360" w:lineRule="auto"/>
      <w:ind w:firstLine="480" w:firstLineChars="200"/>
    </w:pPr>
    <w:rPr>
      <w:rFonts w:ascii="宋体" w:hAnsi="宋体"/>
      <w:sz w:val="22"/>
      <w:szCs w:val="22"/>
    </w:rPr>
  </w:style>
  <w:style w:type="character" w:customStyle="1" w:styleId="90">
    <w:name w:val="rvts17"/>
    <w:qFormat/>
    <w:uiPriority w:val="99"/>
    <w:rPr>
      <w:rFonts w:ascii="KNLe" w:hAnsi="KNLe" w:cs="KNLe"/>
      <w:color w:val="000000"/>
      <w:u w:val="single"/>
    </w:rPr>
  </w:style>
  <w:style w:type="character" w:customStyle="1" w:styleId="91">
    <w:name w:val="样式 宋体 小四 加粗"/>
    <w:qFormat/>
    <w:uiPriority w:val="99"/>
    <w:rPr>
      <w:rFonts w:ascii="宋体" w:eastAsia="宋体" w:cs="宋体"/>
      <w:b/>
      <w:bCs/>
      <w:sz w:val="28"/>
      <w:szCs w:val="28"/>
    </w:rPr>
  </w:style>
  <w:style w:type="character" w:customStyle="1" w:styleId="92">
    <w:name w:val="纯文本 Char1"/>
    <w:semiHidden/>
    <w:qFormat/>
    <w:uiPriority w:val="99"/>
    <w:rPr>
      <w:rFonts w:ascii="宋体" w:hAnsi="Courier New" w:eastAsia="宋体" w:cs="宋体"/>
      <w:sz w:val="21"/>
      <w:szCs w:val="21"/>
    </w:rPr>
  </w:style>
  <w:style w:type="character" w:customStyle="1" w:styleId="93">
    <w:name w:val="Char Char17"/>
    <w:qFormat/>
    <w:uiPriority w:val="99"/>
    <w:rPr>
      <w:rFonts w:ascii="黑体" w:hAnsi="Arial" w:eastAsia="黑体" w:cs="黑体"/>
      <w:b/>
      <w:bCs/>
      <w:kern w:val="0"/>
      <w:sz w:val="20"/>
      <w:szCs w:val="20"/>
    </w:rPr>
  </w:style>
  <w:style w:type="character" w:customStyle="1" w:styleId="94">
    <w:name w:val="Para head"/>
    <w:qFormat/>
    <w:uiPriority w:val="99"/>
    <w:rPr>
      <w:sz w:val="20"/>
      <w:szCs w:val="20"/>
    </w:rPr>
  </w:style>
  <w:style w:type="character" w:customStyle="1" w:styleId="95">
    <w:name w:val="Char Char1"/>
    <w:semiHidden/>
    <w:qFormat/>
    <w:uiPriority w:val="99"/>
    <w:rPr>
      <w:rFonts w:eastAsia="宋体"/>
      <w:kern w:val="2"/>
      <w:sz w:val="18"/>
      <w:szCs w:val="18"/>
      <w:lang w:val="en-US" w:eastAsia="zh-CN"/>
    </w:rPr>
  </w:style>
  <w:style w:type="character" w:customStyle="1" w:styleId="96">
    <w:name w:val="标题 2 Char"/>
    <w:qFormat/>
    <w:uiPriority w:val="99"/>
    <w:rPr>
      <w:rFonts w:ascii="黑体" w:eastAsia="黑体" w:cs="黑体"/>
      <w:b/>
      <w:bCs/>
      <w:sz w:val="24"/>
      <w:szCs w:val="24"/>
      <w:lang w:val="en-US" w:eastAsia="zh-CN"/>
    </w:rPr>
  </w:style>
  <w:style w:type="character" w:customStyle="1" w:styleId="97">
    <w:name w:val="TEXT-NEW Char"/>
    <w:link w:val="98"/>
    <w:qFormat/>
    <w:uiPriority w:val="99"/>
    <w:rPr>
      <w:rFonts w:ascii="宋体" w:cs="宋体"/>
      <w:kern w:val="2"/>
      <w:sz w:val="24"/>
      <w:szCs w:val="24"/>
      <w:lang w:val="en-US" w:eastAsia="zh-CN" w:bidi="ar-SA"/>
    </w:rPr>
  </w:style>
  <w:style w:type="paragraph" w:customStyle="1" w:styleId="98">
    <w:name w:val="TEXT-NEW"/>
    <w:link w:val="97"/>
    <w:qFormat/>
    <w:uiPriority w:val="99"/>
    <w:pPr>
      <w:spacing w:line="360" w:lineRule="auto"/>
      <w:ind w:firstLine="480" w:firstLineChars="200"/>
      <w:jc w:val="both"/>
    </w:pPr>
    <w:rPr>
      <w:rFonts w:ascii="宋体" w:hAnsi="Times New Roman" w:eastAsia="宋体" w:cs="宋体"/>
      <w:kern w:val="2"/>
      <w:sz w:val="24"/>
      <w:szCs w:val="24"/>
      <w:lang w:val="en-US" w:eastAsia="zh-CN" w:bidi="ar-SA"/>
    </w:rPr>
  </w:style>
  <w:style w:type="character" w:customStyle="1" w:styleId="99">
    <w:name w:val="Char Char4"/>
    <w:qFormat/>
    <w:uiPriority w:val="99"/>
    <w:rPr>
      <w:rFonts w:ascii="宋体" w:hAnsi="Times New Roman" w:eastAsia="宋体" w:cs="宋体"/>
      <w:kern w:val="0"/>
      <w:sz w:val="20"/>
      <w:szCs w:val="20"/>
    </w:rPr>
  </w:style>
  <w:style w:type="character" w:customStyle="1" w:styleId="100">
    <w:name w:val="Char Char22"/>
    <w:qFormat/>
    <w:uiPriority w:val="99"/>
    <w:rPr>
      <w:rFonts w:eastAsia="宋体"/>
      <w:b/>
      <w:bCs/>
      <w:kern w:val="2"/>
      <w:sz w:val="32"/>
      <w:szCs w:val="32"/>
      <w:lang w:val="en-US" w:eastAsia="zh-CN"/>
    </w:rPr>
  </w:style>
  <w:style w:type="character" w:customStyle="1" w:styleId="101">
    <w:name w:val="grame"/>
    <w:basedOn w:val="50"/>
    <w:qFormat/>
    <w:uiPriority w:val="99"/>
  </w:style>
  <w:style w:type="character" w:customStyle="1" w:styleId="102">
    <w:name w:val="正文（首行缩进两字） Char"/>
    <w:qFormat/>
    <w:uiPriority w:val="99"/>
    <w:rPr>
      <w:rFonts w:eastAsia="宋体"/>
      <w:kern w:val="2"/>
      <w:sz w:val="24"/>
      <w:szCs w:val="24"/>
      <w:lang w:val="en-US" w:eastAsia="zh-CN"/>
    </w:rPr>
  </w:style>
  <w:style w:type="character" w:customStyle="1" w:styleId="103">
    <w:name w:val="Char Char9"/>
    <w:qFormat/>
    <w:uiPriority w:val="99"/>
    <w:rPr>
      <w:rFonts w:ascii="Times New Roman" w:hAnsi="Times New Roman" w:eastAsia="宋体" w:cs="Times New Roman"/>
      <w:kern w:val="0"/>
      <w:sz w:val="20"/>
      <w:szCs w:val="20"/>
    </w:rPr>
  </w:style>
  <w:style w:type="character" w:customStyle="1" w:styleId="104">
    <w:name w:val="图表编号  宋体 五号 加粗"/>
    <w:qFormat/>
    <w:uiPriority w:val="99"/>
    <w:rPr>
      <w:rFonts w:ascii="宋体" w:eastAsia="宋体" w:cs="宋体"/>
      <w:b/>
      <w:bCs/>
      <w:sz w:val="21"/>
      <w:szCs w:val="21"/>
    </w:rPr>
  </w:style>
  <w:style w:type="character" w:customStyle="1" w:styleId="105">
    <w:name w:val="普通文字 Char Char"/>
    <w:qFormat/>
    <w:uiPriority w:val="99"/>
    <w:rPr>
      <w:rFonts w:ascii="宋体" w:hAnsi="Courier New" w:eastAsia="宋体" w:cs="宋体"/>
      <w:kern w:val="2"/>
      <w:sz w:val="21"/>
      <w:szCs w:val="21"/>
      <w:lang w:val="en-US" w:eastAsia="zh-CN"/>
    </w:rPr>
  </w:style>
  <w:style w:type="character" w:customStyle="1" w:styleId="106">
    <w:name w:val="Char Char11"/>
    <w:qFormat/>
    <w:uiPriority w:val="99"/>
    <w:rPr>
      <w:sz w:val="18"/>
      <w:szCs w:val="18"/>
    </w:rPr>
  </w:style>
  <w:style w:type="character" w:customStyle="1" w:styleId="107">
    <w:name w:val="正文（首行缩进两字） + Arial Char Char Char Char Char Char Char Char Char Char Char Char Char Char Char Char Char Char Char Char Char Char Char Char Char Char Char"/>
    <w:qFormat/>
    <w:uiPriority w:val="99"/>
    <w:rPr>
      <w:rFonts w:ascii="Arial" w:hAnsi="Arial" w:eastAsia="宋体" w:cs="Arial"/>
      <w:sz w:val="24"/>
      <w:szCs w:val="24"/>
      <w:lang w:val="en-US" w:eastAsia="zh-CN"/>
    </w:rPr>
  </w:style>
  <w:style w:type="character" w:customStyle="1" w:styleId="108">
    <w:name w:val="样式 宋体 小四2"/>
    <w:qFormat/>
    <w:uiPriority w:val="99"/>
    <w:rPr>
      <w:rFonts w:ascii="宋体" w:eastAsia="宋体" w:cs="宋体"/>
      <w:kern w:val="0"/>
      <w:sz w:val="28"/>
      <w:szCs w:val="28"/>
    </w:rPr>
  </w:style>
  <w:style w:type="character" w:customStyle="1" w:styleId="109">
    <w:name w:val="Char Char19"/>
    <w:qFormat/>
    <w:uiPriority w:val="99"/>
    <w:rPr>
      <w:rFonts w:ascii="黑体" w:hAnsi="Arial" w:eastAsia="黑体" w:cs="黑体"/>
      <w:b/>
      <w:bCs/>
      <w:kern w:val="0"/>
      <w:sz w:val="20"/>
      <w:szCs w:val="20"/>
    </w:rPr>
  </w:style>
  <w:style w:type="character" w:customStyle="1" w:styleId="110">
    <w:name w:val="样式 (西文) 仿宋_GB2312 小四"/>
    <w:qFormat/>
    <w:uiPriority w:val="99"/>
    <w:rPr>
      <w:rFonts w:ascii="Times New Roman" w:hAnsi="Times New Roman" w:eastAsia="宋体" w:cs="Times New Roman"/>
      <w:sz w:val="24"/>
      <w:szCs w:val="24"/>
    </w:rPr>
  </w:style>
  <w:style w:type="character" w:customStyle="1" w:styleId="111">
    <w:name w:val="Char Char21"/>
    <w:qFormat/>
    <w:uiPriority w:val="99"/>
    <w:rPr>
      <w:rFonts w:ascii="Arial" w:hAnsi="Arial" w:eastAsia="黑体" w:cs="Arial"/>
      <w:b/>
      <w:bCs/>
      <w:kern w:val="2"/>
      <w:sz w:val="28"/>
      <w:szCs w:val="28"/>
      <w:lang w:val="en-US" w:eastAsia="zh-CN"/>
    </w:rPr>
  </w:style>
  <w:style w:type="character" w:customStyle="1" w:styleId="112">
    <w:name w:val="样式 黑体 小二"/>
    <w:qFormat/>
    <w:uiPriority w:val="99"/>
    <w:rPr>
      <w:rFonts w:ascii="黑体" w:hAnsi="黑体" w:eastAsia="黑体" w:cs="黑体"/>
      <w:sz w:val="36"/>
      <w:szCs w:val="36"/>
    </w:rPr>
  </w:style>
  <w:style w:type="character" w:customStyle="1" w:styleId="113">
    <w:name w:val="样式 宋体 小四"/>
    <w:qFormat/>
    <w:uiPriority w:val="99"/>
    <w:rPr>
      <w:rFonts w:ascii="宋体" w:eastAsia="宋体" w:cs="宋体"/>
      <w:sz w:val="28"/>
      <w:szCs w:val="28"/>
    </w:rPr>
  </w:style>
  <w:style w:type="character" w:customStyle="1" w:styleId="114">
    <w:name w:val="标题 1.1 Char Char"/>
    <w:qFormat/>
    <w:uiPriority w:val="99"/>
    <w:rPr>
      <w:rFonts w:ascii="Arial" w:hAnsi="Arial" w:eastAsia="黑体" w:cs="Arial"/>
      <w:b/>
      <w:bCs/>
      <w:kern w:val="2"/>
      <w:sz w:val="32"/>
      <w:szCs w:val="32"/>
      <w:lang w:val="en-US" w:eastAsia="zh-CN"/>
    </w:rPr>
  </w:style>
  <w:style w:type="character" w:customStyle="1" w:styleId="115">
    <w:name w:val="标题1　样式 宋体 小三 加粗"/>
    <w:qFormat/>
    <w:uiPriority w:val="99"/>
    <w:rPr>
      <w:rFonts w:ascii="宋体" w:hAnsi="宋体" w:eastAsia="黑体" w:cs="宋体"/>
      <w:b/>
      <w:bCs/>
      <w:kern w:val="44"/>
      <w:sz w:val="44"/>
      <w:szCs w:val="44"/>
      <w:lang w:val="en-US" w:eastAsia="zh-CN"/>
    </w:rPr>
  </w:style>
  <w:style w:type="character" w:customStyle="1" w:styleId="116">
    <w:name w:val="样式 样式 (西文) 仿宋_GB2312 小四 + 加粗"/>
    <w:qFormat/>
    <w:uiPriority w:val="99"/>
    <w:rPr>
      <w:rFonts w:ascii="Times New Roman" w:hAnsi="Times New Roman" w:eastAsia="宋体" w:cs="Times New Roman"/>
      <w:b/>
      <w:bCs/>
      <w:sz w:val="24"/>
      <w:szCs w:val="24"/>
    </w:rPr>
  </w:style>
  <w:style w:type="character" w:customStyle="1" w:styleId="117">
    <w:name w:val="样式 宋体 小四 加粗1"/>
    <w:qFormat/>
    <w:uiPriority w:val="99"/>
    <w:rPr>
      <w:rFonts w:ascii="宋体" w:eastAsia="宋体" w:cs="宋体"/>
      <w:b/>
      <w:bCs/>
      <w:sz w:val="28"/>
      <w:szCs w:val="28"/>
    </w:rPr>
  </w:style>
  <w:style w:type="character" w:customStyle="1" w:styleId="118">
    <w:name w:val="样式 宋体 小四1"/>
    <w:qFormat/>
    <w:uiPriority w:val="99"/>
    <w:rPr>
      <w:rFonts w:ascii="宋体" w:eastAsia="宋体" w:cs="宋体"/>
      <w:sz w:val="28"/>
      <w:szCs w:val="28"/>
    </w:rPr>
  </w:style>
  <w:style w:type="character" w:customStyle="1" w:styleId="119">
    <w:name w:val="font161"/>
    <w:qFormat/>
    <w:uiPriority w:val="99"/>
    <w:rPr>
      <w:b/>
      <w:bCs/>
      <w:sz w:val="32"/>
      <w:szCs w:val="32"/>
    </w:rPr>
  </w:style>
  <w:style w:type="paragraph" w:customStyle="1" w:styleId="120">
    <w:name w:val="正文文本 21"/>
    <w:basedOn w:val="1"/>
    <w:qFormat/>
    <w:uiPriority w:val="99"/>
    <w:pPr>
      <w:adjustRightInd w:val="0"/>
      <w:ind w:firstLine="510"/>
      <w:jc w:val="left"/>
      <w:textAlignment w:val="baseline"/>
    </w:pPr>
    <w:rPr>
      <w:rFonts w:eastAsia="@幼圆"/>
      <w:sz w:val="32"/>
      <w:szCs w:val="32"/>
    </w:rPr>
  </w:style>
  <w:style w:type="paragraph" w:customStyle="1" w:styleId="121">
    <w:name w:val="表、图签"/>
    <w:basedOn w:val="1"/>
    <w:qFormat/>
    <w:uiPriority w:val="99"/>
    <w:pPr>
      <w:spacing w:line="360" w:lineRule="auto"/>
      <w:jc w:val="center"/>
    </w:pPr>
    <w:rPr>
      <w:rFonts w:ascii="黑体" w:hAnsi="Arial" w:eastAsia="黑体" w:cs="黑体"/>
      <w:sz w:val="24"/>
      <w:szCs w:val="24"/>
    </w:rPr>
  </w:style>
  <w:style w:type="paragraph" w:customStyle="1" w:styleId="122">
    <w:name w:val="标题一"/>
    <w:basedOn w:val="2"/>
    <w:qFormat/>
    <w:uiPriority w:val="99"/>
    <w:pPr>
      <w:keepNext w:val="0"/>
      <w:adjustRightInd w:val="0"/>
      <w:snapToGrid w:val="0"/>
      <w:spacing w:beforeLines="1600" w:after="0" w:line="240" w:lineRule="auto"/>
      <w:ind w:left="454"/>
      <w:jc w:val="center"/>
    </w:pPr>
  </w:style>
  <w:style w:type="paragraph" w:customStyle="1" w:styleId="123">
    <w:name w:val="节标题"/>
    <w:basedOn w:val="1"/>
    <w:qFormat/>
    <w:uiPriority w:val="99"/>
    <w:pPr>
      <w:spacing w:before="240" w:after="240"/>
      <w:jc w:val="center"/>
    </w:pPr>
    <w:rPr>
      <w:rFonts w:eastAsia="文鼎CS长美黑"/>
      <w:w w:val="95"/>
      <w:sz w:val="32"/>
      <w:szCs w:val="32"/>
    </w:rPr>
  </w:style>
  <w:style w:type="paragraph" w:customStyle="1" w:styleId="124">
    <w:name w:val="样式5"/>
    <w:qFormat/>
    <w:uiPriority w:val="99"/>
    <w:pPr>
      <w:adjustRightInd w:val="0"/>
      <w:snapToGrid w:val="0"/>
      <w:spacing w:beforeLines="15" w:afterLines="15" w:line="360" w:lineRule="auto"/>
      <w:ind w:left="200" w:leftChars="200"/>
    </w:pPr>
    <w:rPr>
      <w:rFonts w:ascii="宋体" w:hAnsi="Times New Roman" w:eastAsia="宋体" w:cs="宋体"/>
      <w:kern w:val="2"/>
      <w:sz w:val="21"/>
      <w:szCs w:val="21"/>
      <w:lang w:val="en-US" w:eastAsia="zh-CN" w:bidi="ar-SA"/>
    </w:rPr>
  </w:style>
  <w:style w:type="paragraph" w:customStyle="1" w:styleId="125">
    <w:name w:val="表头文字"/>
    <w:basedOn w:val="1"/>
    <w:qFormat/>
    <w:uiPriority w:val="99"/>
    <w:pPr>
      <w:spacing w:beforeLines="50" w:afterLines="50" w:line="360" w:lineRule="auto"/>
      <w:jc w:val="right"/>
    </w:pPr>
    <w:rPr>
      <w:color w:val="FF0000"/>
    </w:rPr>
  </w:style>
  <w:style w:type="paragraph" w:customStyle="1" w:styleId="126">
    <w:name w:val="表头"/>
    <w:basedOn w:val="1"/>
    <w:qFormat/>
    <w:uiPriority w:val="99"/>
    <w:pPr>
      <w:adjustRightInd w:val="0"/>
      <w:spacing w:before="120" w:after="60" w:line="420" w:lineRule="atLeast"/>
      <w:textAlignment w:val="baseline"/>
    </w:pPr>
    <w:rPr>
      <w:rFonts w:ascii="黑体" w:eastAsia="黑体" w:cs="黑体"/>
      <w:b/>
      <w:bCs/>
      <w:kern w:val="0"/>
    </w:rPr>
  </w:style>
  <w:style w:type="paragraph" w:customStyle="1" w:styleId="127">
    <w:name w:val="xl36"/>
    <w:basedOn w:val="1"/>
    <w:qFormat/>
    <w:uiPriority w:val="99"/>
    <w:pPr>
      <w:widowControl/>
      <w:spacing w:before="100" w:beforeAutospacing="1" w:after="100" w:afterAutospacing="1"/>
      <w:jc w:val="left"/>
    </w:pPr>
    <w:rPr>
      <w:rFonts w:ascii="黑体" w:hAnsi="宋体" w:eastAsia="黑体" w:cs="黑体"/>
      <w:color w:val="000000"/>
      <w:kern w:val="0"/>
      <w:sz w:val="24"/>
      <w:szCs w:val="24"/>
    </w:rPr>
  </w:style>
  <w:style w:type="paragraph" w:customStyle="1" w:styleId="128">
    <w:name w:val="样式1"/>
    <w:basedOn w:val="1"/>
    <w:qFormat/>
    <w:uiPriority w:val="99"/>
    <w:rPr>
      <w:sz w:val="18"/>
      <w:szCs w:val="18"/>
    </w:rPr>
  </w:style>
  <w:style w:type="paragraph" w:customStyle="1" w:styleId="129">
    <w:name w:val="Char"/>
    <w:basedOn w:val="1"/>
    <w:qFormat/>
    <w:uiPriority w:val="99"/>
  </w:style>
  <w:style w:type="paragraph" w:customStyle="1" w:styleId="130">
    <w:name w:val="样式 宋体 小四 首行缩进:  0.99 厘米 行距: 固定值 30 磅"/>
    <w:basedOn w:val="1"/>
    <w:qFormat/>
    <w:uiPriority w:val="99"/>
    <w:pPr>
      <w:spacing w:line="600" w:lineRule="exact"/>
      <w:ind w:firstLine="560"/>
    </w:pPr>
    <w:rPr>
      <w:rFonts w:ascii="宋体" w:hAnsi="宋体" w:cs="宋体"/>
      <w:sz w:val="28"/>
      <w:szCs w:val="28"/>
    </w:rPr>
  </w:style>
  <w:style w:type="paragraph" w:customStyle="1" w:styleId="131">
    <w:name w:val="Char Char Char Char Char Char"/>
    <w:basedOn w:val="1"/>
    <w:qFormat/>
    <w:uiPriority w:val="99"/>
  </w:style>
  <w:style w:type="paragraph" w:customStyle="1" w:styleId="132">
    <w:name w:val="font6"/>
    <w:basedOn w:val="1"/>
    <w:qFormat/>
    <w:uiPriority w:val="99"/>
    <w:pPr>
      <w:widowControl/>
      <w:spacing w:before="100" w:beforeAutospacing="1" w:after="100" w:afterAutospacing="1"/>
      <w:jc w:val="left"/>
    </w:pPr>
    <w:rPr>
      <w:rFonts w:ascii="宋体" w:hAnsi="宋体" w:cs="宋体"/>
      <w:color w:val="000000"/>
      <w:kern w:val="0"/>
    </w:rPr>
  </w:style>
  <w:style w:type="paragraph" w:customStyle="1" w:styleId="133">
    <w:name w:val="样式"/>
    <w:basedOn w:val="1"/>
    <w:next w:val="39"/>
    <w:qFormat/>
    <w:uiPriority w:val="99"/>
    <w:pPr>
      <w:adjustRightInd w:val="0"/>
      <w:ind w:firstLine="564"/>
      <w:textAlignment w:val="baseline"/>
    </w:pPr>
    <w:rPr>
      <w:rFonts w:ascii="宋体" w:cs="宋体"/>
      <w:kern w:val="0"/>
      <w:sz w:val="28"/>
      <w:szCs w:val="28"/>
    </w:rPr>
  </w:style>
  <w:style w:type="paragraph" w:customStyle="1" w:styleId="134">
    <w:name w:val="_Style 20"/>
    <w:basedOn w:val="1"/>
    <w:qFormat/>
    <w:uiPriority w:val="99"/>
  </w:style>
  <w:style w:type="paragraph" w:customStyle="1" w:styleId="135">
    <w:name w:val="格式4"/>
    <w:basedOn w:val="1"/>
    <w:qFormat/>
    <w:uiPriority w:val="99"/>
    <w:pPr>
      <w:spacing w:line="420" w:lineRule="exact"/>
      <w:ind w:left="990" w:leftChars="300" w:hanging="360" w:hangingChars="150"/>
    </w:pPr>
    <w:rPr>
      <w:rFonts w:ascii="宋体" w:hAnsi="宋体" w:cs="宋体"/>
      <w:color w:val="000000"/>
      <w:sz w:val="24"/>
      <w:szCs w:val="24"/>
    </w:rPr>
  </w:style>
  <w:style w:type="paragraph" w:customStyle="1" w:styleId="136">
    <w:name w:val="正正文"/>
    <w:basedOn w:val="1"/>
    <w:qFormat/>
    <w:uiPriority w:val="99"/>
    <w:pPr>
      <w:spacing w:line="360" w:lineRule="auto"/>
      <w:ind w:firstLine="480" w:firstLineChars="200"/>
    </w:pPr>
    <w:rPr>
      <w:rFonts w:ascii="宋体" w:hAnsi="宋体" w:cs="宋体"/>
      <w:kern w:val="0"/>
      <w:sz w:val="24"/>
      <w:szCs w:val="24"/>
    </w:rPr>
  </w:style>
  <w:style w:type="paragraph" w:customStyle="1" w:styleId="137">
    <w:name w:val="标题222"/>
    <w:basedOn w:val="1"/>
    <w:qFormat/>
    <w:uiPriority w:val="99"/>
    <w:pPr>
      <w:ind w:firstLine="200" w:firstLineChars="200"/>
      <w:jc w:val="left"/>
      <w:outlineLvl w:val="1"/>
    </w:pPr>
    <w:rPr>
      <w:rFonts w:ascii="宋体" w:hAnsi="宋体" w:cs="宋体"/>
      <w:b/>
      <w:bCs/>
      <w:sz w:val="28"/>
      <w:szCs w:val="28"/>
    </w:rPr>
  </w:style>
  <w:style w:type="paragraph" w:customStyle="1" w:styleId="138">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139">
    <w:name w:val="格式10"/>
    <w:basedOn w:val="1"/>
    <w:qFormat/>
    <w:uiPriority w:val="99"/>
    <w:pPr>
      <w:spacing w:line="360" w:lineRule="exact"/>
      <w:ind w:left="480"/>
    </w:pPr>
    <w:rPr>
      <w:sz w:val="24"/>
      <w:szCs w:val="24"/>
    </w:rPr>
  </w:style>
  <w:style w:type="paragraph" w:customStyle="1" w:styleId="140">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1">
    <w:name w:val="Char1 Char Char Char"/>
    <w:basedOn w:val="1"/>
    <w:qFormat/>
    <w:uiPriority w:val="99"/>
    <w:rPr>
      <w:rFonts w:ascii="Tahoma" w:hAnsi="Tahoma" w:cs="Tahoma"/>
      <w:sz w:val="24"/>
      <w:szCs w:val="24"/>
    </w:rPr>
  </w:style>
  <w:style w:type="paragraph" w:customStyle="1" w:styleId="142">
    <w:name w:val="正文文本 211"/>
    <w:basedOn w:val="1"/>
    <w:qFormat/>
    <w:uiPriority w:val="99"/>
    <w:pPr>
      <w:adjustRightInd w:val="0"/>
      <w:spacing w:line="360" w:lineRule="atLeast"/>
      <w:ind w:left="480"/>
      <w:textAlignment w:val="baseline"/>
    </w:pPr>
    <w:rPr>
      <w:rFonts w:ascii="宋体" w:cs="宋体"/>
      <w:kern w:val="0"/>
      <w:sz w:val="24"/>
      <w:szCs w:val="24"/>
    </w:rPr>
  </w:style>
  <w:style w:type="paragraph" w:customStyle="1" w:styleId="143">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rPr>
  </w:style>
  <w:style w:type="paragraph" w:customStyle="1" w:styleId="144">
    <w:name w:val="表格3"/>
    <w:basedOn w:val="1"/>
    <w:qFormat/>
    <w:uiPriority w:val="99"/>
    <w:pPr>
      <w:adjustRightInd w:val="0"/>
      <w:spacing w:line="420" w:lineRule="atLeast"/>
      <w:textAlignment w:val="baseline"/>
    </w:pPr>
    <w:rPr>
      <w:rFonts w:eastAsia="楷体"/>
      <w:kern w:val="0"/>
    </w:rPr>
  </w:style>
  <w:style w:type="paragraph" w:customStyle="1" w:styleId="145">
    <w:name w:val="样式 标题 2 + Times New Roman 四号 非加粗 段前: 5 磅 段后: 0 磅 行距: 固定值 20..."/>
    <w:basedOn w:val="3"/>
    <w:qFormat/>
    <w:uiPriority w:val="99"/>
    <w:pPr>
      <w:spacing w:before="100" w:after="0" w:line="400" w:lineRule="exact"/>
    </w:pPr>
    <w:rPr>
      <w:rFonts w:ascii="Times New Roman" w:hAnsi="Times New Roman" w:cs="Times New Roman"/>
      <w:b w:val="0"/>
      <w:bCs w:val="0"/>
      <w:sz w:val="28"/>
      <w:szCs w:val="28"/>
    </w:rPr>
  </w:style>
  <w:style w:type="paragraph" w:customStyle="1" w:styleId="146">
    <w:name w:val="xl3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147">
    <w:name w:val="格式2"/>
    <w:qFormat/>
    <w:uiPriority w:val="99"/>
    <w:pPr>
      <w:widowControl w:val="0"/>
      <w:adjustRightInd w:val="0"/>
      <w:snapToGrid w:val="0"/>
      <w:spacing w:before="50" w:line="440" w:lineRule="exact"/>
      <w:jc w:val="both"/>
    </w:pPr>
    <w:rPr>
      <w:rFonts w:ascii="Times New Roman" w:hAnsi="Times New Roman" w:eastAsia="宋体" w:cs="Times New Roman"/>
      <w:sz w:val="24"/>
      <w:szCs w:val="24"/>
      <w:lang w:val="en-US" w:eastAsia="zh-CN" w:bidi="ar-SA"/>
    </w:rPr>
  </w:style>
  <w:style w:type="paragraph" w:customStyle="1" w:styleId="148">
    <w:name w:val="格式1"/>
    <w:basedOn w:val="1"/>
    <w:qFormat/>
    <w:uiPriority w:val="99"/>
    <w:pPr>
      <w:spacing w:beforeLines="50"/>
      <w:jc w:val="center"/>
    </w:pPr>
    <w:rPr>
      <w:rFonts w:ascii="黑体" w:hAnsi="宋体" w:eastAsia="黑体" w:cs="黑体"/>
      <w:b/>
      <w:bCs/>
      <w:color w:val="000000"/>
      <w:sz w:val="32"/>
      <w:szCs w:val="32"/>
    </w:rPr>
  </w:style>
  <w:style w:type="paragraph" w:customStyle="1" w:styleId="149">
    <w:name w:val="正文 + 宋体"/>
    <w:basedOn w:val="1"/>
    <w:qFormat/>
    <w:uiPriority w:val="99"/>
    <w:pPr>
      <w:adjustRightInd w:val="0"/>
      <w:snapToGrid w:val="0"/>
      <w:spacing w:line="360" w:lineRule="auto"/>
      <w:ind w:left="567"/>
    </w:pPr>
    <w:rPr>
      <w:rFonts w:ascii="宋体" w:hAnsi="宋体" w:cs="宋体"/>
      <w:kern w:val="0"/>
      <w:sz w:val="24"/>
      <w:szCs w:val="24"/>
    </w:rPr>
  </w:style>
  <w:style w:type="paragraph" w:customStyle="1" w:styleId="150">
    <w:name w:val="font8"/>
    <w:basedOn w:val="1"/>
    <w:qFormat/>
    <w:uiPriority w:val="99"/>
    <w:pPr>
      <w:widowControl/>
      <w:spacing w:before="100" w:beforeAutospacing="1" w:after="100" w:afterAutospacing="1"/>
      <w:jc w:val="left"/>
    </w:pPr>
    <w:rPr>
      <w:color w:val="000000"/>
      <w:kern w:val="0"/>
    </w:rPr>
  </w:style>
  <w:style w:type="paragraph" w:customStyle="1" w:styleId="151">
    <w:name w:val="标题111"/>
    <w:basedOn w:val="1"/>
    <w:qFormat/>
    <w:uiPriority w:val="99"/>
    <w:pPr>
      <w:jc w:val="left"/>
      <w:outlineLvl w:val="0"/>
    </w:pPr>
    <w:rPr>
      <w:rFonts w:ascii="宋体" w:hAnsi="宋体" w:cs="宋体"/>
      <w:b/>
      <w:bCs/>
      <w:sz w:val="28"/>
      <w:szCs w:val="28"/>
    </w:rPr>
  </w:style>
  <w:style w:type="paragraph" w:customStyle="1" w:styleId="152">
    <w:name w:val="Char Char Char1 Char Char Char Char Char Char Char Char Char Char Char Char Char Char Char Char Char Char Char"/>
    <w:basedOn w:val="1"/>
    <w:qFormat/>
    <w:uiPriority w:val="99"/>
  </w:style>
  <w:style w:type="paragraph" w:customStyle="1" w:styleId="153">
    <w:name w:val="表名A"/>
    <w:basedOn w:val="1"/>
    <w:qFormat/>
    <w:uiPriority w:val="99"/>
    <w:pPr>
      <w:widowControl/>
      <w:tabs>
        <w:tab w:val="center" w:pos="4860"/>
        <w:tab w:val="right" w:pos="8820"/>
      </w:tabs>
      <w:adjustRightInd w:val="0"/>
      <w:snapToGrid w:val="0"/>
      <w:spacing w:beforeLines="80" w:afterLines="20"/>
    </w:pPr>
    <w:rPr>
      <w:rFonts w:ascii="华文细黑" w:hAnsi="华文细黑" w:eastAsia="华文细黑" w:cs="华文细黑"/>
      <w:kern w:val="0"/>
    </w:rPr>
  </w:style>
  <w:style w:type="paragraph" w:customStyle="1" w:styleId="154">
    <w:name w:val="xl30"/>
    <w:basedOn w:val="1"/>
    <w:qFormat/>
    <w:uiPriority w:val="99"/>
    <w:pPr>
      <w:widowControl/>
      <w:pBdr>
        <w:left w:val="single" w:color="auto" w:sz="6" w:space="0"/>
        <w:bottom w:val="single" w:color="auto" w:sz="6" w:space="0"/>
        <w:right w:val="single" w:color="auto" w:sz="6" w:space="0"/>
      </w:pBdr>
      <w:adjustRightInd w:val="0"/>
      <w:spacing w:before="100" w:after="100"/>
      <w:jc w:val="center"/>
      <w:textAlignment w:val="center"/>
    </w:pPr>
    <w:rPr>
      <w:rFonts w:ascii="宋体" w:hAnsi="宋体" w:cs="宋体"/>
      <w:kern w:val="0"/>
    </w:rPr>
  </w:style>
  <w:style w:type="paragraph" w:customStyle="1" w:styleId="155">
    <w:name w:val="二级条标题"/>
    <w:basedOn w:val="156"/>
    <w:next w:val="157"/>
    <w:qFormat/>
    <w:uiPriority w:val="99"/>
    <w:pPr>
      <w:ind w:left="540"/>
      <w:outlineLvl w:val="3"/>
    </w:pPr>
  </w:style>
  <w:style w:type="paragraph" w:customStyle="1" w:styleId="156">
    <w:name w:val="一级条标题"/>
    <w:next w:val="157"/>
    <w:qFormat/>
    <w:uiPriority w:val="99"/>
    <w:pPr>
      <w:outlineLvl w:val="2"/>
    </w:pPr>
    <w:rPr>
      <w:rFonts w:ascii="Times New Roman" w:hAnsi="Times New Roman" w:eastAsia="黑体" w:cs="Times New Roman"/>
      <w:sz w:val="21"/>
      <w:szCs w:val="21"/>
      <w:lang w:val="en-US" w:eastAsia="zh-CN" w:bidi="ar-SA"/>
    </w:rPr>
  </w:style>
  <w:style w:type="paragraph" w:customStyle="1" w:styleId="157">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58">
    <w:name w:val="表1"/>
    <w:basedOn w:val="1"/>
    <w:qFormat/>
    <w:uiPriority w:val="99"/>
    <w:pPr>
      <w:tabs>
        <w:tab w:val="left" w:pos="360"/>
      </w:tabs>
      <w:overflowPunct w:val="0"/>
      <w:autoSpaceDE w:val="0"/>
      <w:autoSpaceDN w:val="0"/>
      <w:adjustRightInd w:val="0"/>
      <w:spacing w:before="200" w:line="320" w:lineRule="atLeast"/>
      <w:textAlignment w:val="baseline"/>
    </w:pPr>
    <w:rPr>
      <w:kern w:val="0"/>
      <w:sz w:val="24"/>
      <w:szCs w:val="24"/>
    </w:rPr>
  </w:style>
  <w:style w:type="paragraph" w:customStyle="1" w:styleId="159">
    <w:name w:val="Char Char Char Char Char Char1"/>
    <w:basedOn w:val="1"/>
    <w:qFormat/>
    <w:uiPriority w:val="99"/>
  </w:style>
  <w:style w:type="paragraph" w:customStyle="1" w:styleId="160">
    <w:name w:val="表中"/>
    <w:basedOn w:val="1"/>
    <w:qFormat/>
    <w:uiPriority w:val="99"/>
    <w:pPr>
      <w:adjustRightInd w:val="0"/>
      <w:spacing w:line="360" w:lineRule="atLeast"/>
      <w:jc w:val="center"/>
      <w:textAlignment w:val="baseline"/>
    </w:pPr>
    <w:rPr>
      <w:kern w:val="0"/>
    </w:rPr>
  </w:style>
  <w:style w:type="paragraph" w:customStyle="1" w:styleId="161">
    <w:name w:val="正文2"/>
    <w:basedOn w:val="1"/>
    <w:qFormat/>
    <w:uiPriority w:val="99"/>
    <w:pPr>
      <w:adjustRightInd w:val="0"/>
      <w:spacing w:line="420" w:lineRule="atLeast"/>
      <w:textAlignment w:val="baseline"/>
    </w:pPr>
    <w:rPr>
      <w:kern w:val="0"/>
    </w:rPr>
  </w:style>
  <w:style w:type="paragraph" w:customStyle="1" w:styleId="162">
    <w:name w:val="xl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63">
    <w:name w:val="Char Char Char Char Char Char Char Char Char Char Char Char Char Char Char Char Char Char Char Char Char Char Char Char Char"/>
    <w:basedOn w:val="1"/>
    <w:qFormat/>
    <w:uiPriority w:val="99"/>
  </w:style>
  <w:style w:type="paragraph" w:customStyle="1" w:styleId="164">
    <w:name w:val="af15hichaf0dbchf15cgrid"/>
    <w:qFormat/>
    <w:uiPriority w:val="99"/>
    <w:pPr>
      <w:widowControl w:val="0"/>
      <w:tabs>
        <w:tab w:val="center" w:pos="4320"/>
        <w:tab w:val="right" w:pos="8640"/>
      </w:tabs>
      <w:adjustRightInd w:val="0"/>
      <w:spacing w:line="315" w:lineRule="atLeast"/>
      <w:jc w:val="both"/>
      <w:textAlignment w:val="baseline"/>
    </w:pPr>
    <w:rPr>
      <w:rFonts w:ascii="宋体" w:hAnsi="Times New Roman" w:eastAsia="宋体" w:cs="宋体"/>
      <w:sz w:val="21"/>
      <w:szCs w:val="21"/>
      <w:lang w:val="en-US" w:eastAsia="zh-CN" w:bidi="ar-SA"/>
    </w:rPr>
  </w:style>
  <w:style w:type="paragraph" w:customStyle="1" w:styleId="165">
    <w:name w:val="三级条标题1"/>
    <w:basedOn w:val="1"/>
    <w:next w:val="1"/>
    <w:qFormat/>
    <w:uiPriority w:val="99"/>
    <w:pPr>
      <w:widowControl/>
      <w:ind w:left="900"/>
      <w:jc w:val="left"/>
      <w:outlineLvl w:val="4"/>
    </w:pPr>
    <w:rPr>
      <w:rFonts w:eastAsia="黑体"/>
      <w:kern w:val="0"/>
    </w:rPr>
  </w:style>
  <w:style w:type="paragraph" w:customStyle="1" w:styleId="166">
    <w:name w:val="Char4"/>
    <w:basedOn w:val="1"/>
    <w:qFormat/>
    <w:uiPriority w:val="99"/>
    <w:rPr>
      <w:rFonts w:ascii="Tahoma" w:hAnsi="Tahoma" w:cs="Tahoma"/>
      <w:sz w:val="24"/>
      <w:szCs w:val="24"/>
    </w:rPr>
  </w:style>
  <w:style w:type="paragraph" w:customStyle="1" w:styleId="167">
    <w:name w:val="xl3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168">
    <w:name w:val="表格2"/>
    <w:basedOn w:val="1"/>
    <w:qFormat/>
    <w:uiPriority w:val="99"/>
    <w:pPr>
      <w:adjustRightInd w:val="0"/>
      <w:spacing w:line="420" w:lineRule="atLeast"/>
      <w:ind w:left="284" w:firstLine="454"/>
      <w:textAlignment w:val="baseline"/>
    </w:pPr>
    <w:rPr>
      <w:kern w:val="0"/>
    </w:rPr>
  </w:style>
  <w:style w:type="paragraph" w:customStyle="1" w:styleId="169">
    <w:name w:val="格式３"/>
    <w:basedOn w:val="1"/>
    <w:qFormat/>
    <w:uiPriority w:val="99"/>
    <w:pPr>
      <w:spacing w:line="420" w:lineRule="exact"/>
      <w:ind w:left="600" w:hanging="600" w:hangingChars="250"/>
    </w:pPr>
    <w:rPr>
      <w:rFonts w:ascii="宋体" w:hAnsi="宋体" w:cs="宋体"/>
      <w:color w:val="000000"/>
      <w:sz w:val="24"/>
      <w:szCs w:val="24"/>
    </w:rPr>
  </w:style>
  <w:style w:type="paragraph" w:customStyle="1" w:styleId="170">
    <w:name w:val="正文1"/>
    <w:qFormat/>
    <w:uiPriority w:val="99"/>
    <w:pPr>
      <w:widowControl w:val="0"/>
      <w:adjustRightInd w:val="0"/>
      <w:spacing w:line="312" w:lineRule="atLeast"/>
      <w:jc w:val="both"/>
      <w:textAlignment w:val="baseline"/>
    </w:pPr>
    <w:rPr>
      <w:rFonts w:ascii="宋体" w:hAnsi="Times New Roman" w:eastAsia="宋体" w:cs="宋体"/>
      <w:sz w:val="34"/>
      <w:szCs w:val="34"/>
      <w:lang w:val="en-US" w:eastAsia="zh-CN" w:bidi="ar-SA"/>
    </w:rPr>
  </w:style>
  <w:style w:type="paragraph" w:customStyle="1" w:styleId="171">
    <w:name w:val="xl35"/>
    <w:basedOn w:val="1"/>
    <w:qFormat/>
    <w:uiPriority w:val="99"/>
    <w:pPr>
      <w:widowControl/>
      <w:pBdr>
        <w:bottom w:val="single" w:color="auto" w:sz="4" w:space="0"/>
      </w:pBdr>
      <w:spacing w:before="100" w:beforeAutospacing="1" w:after="100" w:afterAutospacing="1"/>
      <w:jc w:val="left"/>
    </w:pPr>
    <w:rPr>
      <w:color w:val="000000"/>
      <w:kern w:val="0"/>
    </w:rPr>
  </w:style>
  <w:style w:type="paragraph" w:customStyle="1" w:styleId="172">
    <w:name w:val="正文文本缩进 21"/>
    <w:basedOn w:val="1"/>
    <w:qFormat/>
    <w:uiPriority w:val="99"/>
    <w:pPr>
      <w:adjustRightInd w:val="0"/>
      <w:spacing w:line="400" w:lineRule="atLeast"/>
      <w:ind w:firstLine="540"/>
      <w:textAlignment w:val="baseline"/>
    </w:pPr>
    <w:rPr>
      <w:rFonts w:ascii="宋体" w:cs="宋体"/>
      <w:kern w:val="0"/>
      <w:sz w:val="24"/>
      <w:szCs w:val="24"/>
    </w:rPr>
  </w:style>
  <w:style w:type="paragraph" w:customStyle="1" w:styleId="173">
    <w:name w:val="Char Char Char"/>
    <w:basedOn w:val="1"/>
    <w:qFormat/>
    <w:uiPriority w:val="99"/>
    <w:pPr>
      <w:spacing w:line="360" w:lineRule="auto"/>
      <w:ind w:firstLine="200" w:firstLineChars="200"/>
    </w:pPr>
    <w:rPr>
      <w:rFonts w:ascii="宋体" w:hAnsi="宋体" w:cs="宋体"/>
      <w:sz w:val="24"/>
      <w:szCs w:val="24"/>
    </w:rPr>
  </w:style>
  <w:style w:type="paragraph" w:customStyle="1" w:styleId="174">
    <w:name w:val="xl33"/>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75">
    <w:name w:val="列出段落1"/>
    <w:basedOn w:val="1"/>
    <w:qFormat/>
    <w:uiPriority w:val="99"/>
    <w:pPr>
      <w:adjustRightInd w:val="0"/>
      <w:spacing w:line="420" w:lineRule="atLeast"/>
      <w:ind w:firstLine="420" w:firstLineChars="200"/>
      <w:textAlignment w:val="baseline"/>
    </w:pPr>
    <w:rPr>
      <w:kern w:val="0"/>
    </w:rPr>
  </w:style>
  <w:style w:type="paragraph" w:customStyle="1" w:styleId="176">
    <w:name w:val="目录1"/>
    <w:basedOn w:val="1"/>
    <w:qFormat/>
    <w:uiPriority w:val="99"/>
    <w:pPr>
      <w:adjustRightInd w:val="0"/>
      <w:spacing w:line="420" w:lineRule="atLeast"/>
      <w:textAlignment w:val="baseline"/>
    </w:pPr>
    <w:rPr>
      <w:rFonts w:eastAsia="黑体"/>
      <w:b/>
      <w:bCs/>
      <w:kern w:val="0"/>
    </w:rPr>
  </w:style>
  <w:style w:type="paragraph" w:customStyle="1" w:styleId="177">
    <w:name w:val="Char Char Char Char"/>
    <w:basedOn w:val="1"/>
    <w:qFormat/>
    <w:uiPriority w:val="99"/>
  </w:style>
  <w:style w:type="paragraph" w:customStyle="1" w:styleId="178">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79">
    <w:name w:val="xl40"/>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80">
    <w:name w:val="表格下注"/>
    <w:basedOn w:val="1"/>
    <w:qFormat/>
    <w:uiPriority w:val="99"/>
    <w:pPr>
      <w:spacing w:before="163" w:after="120" w:line="400" w:lineRule="exact"/>
    </w:pPr>
    <w:rPr>
      <w:rFonts w:ascii="宋体" w:hAnsi="宋体" w:cs="宋体"/>
      <w:sz w:val="18"/>
      <w:szCs w:val="18"/>
    </w:rPr>
  </w:style>
  <w:style w:type="paragraph" w:customStyle="1" w:styleId="181">
    <w:name w:val="正文11"/>
    <w:qFormat/>
    <w:uiPriority w:val="99"/>
    <w:pPr>
      <w:widowControl w:val="0"/>
      <w:adjustRightInd w:val="0"/>
      <w:spacing w:line="312" w:lineRule="atLeast"/>
      <w:jc w:val="both"/>
      <w:textAlignment w:val="baseline"/>
    </w:pPr>
    <w:rPr>
      <w:rFonts w:ascii="宋体" w:hAnsi="Times New Roman" w:eastAsia="宋体" w:cs="宋体"/>
      <w:sz w:val="34"/>
      <w:szCs w:val="34"/>
      <w:lang w:val="en-US" w:eastAsia="zh-CN" w:bidi="ar-SA"/>
    </w:rPr>
  </w:style>
  <w:style w:type="paragraph" w:customStyle="1" w:styleId="182">
    <w:name w:val="样式 标题 1 + 黑体 三号 非加粗 居中 段前: 6 磅 段后: 6 磅 行距: 固定值 20 磅"/>
    <w:basedOn w:val="2"/>
    <w:qFormat/>
    <w:uiPriority w:val="99"/>
    <w:pPr>
      <w:spacing w:before="120" w:after="120" w:line="400" w:lineRule="exact"/>
      <w:jc w:val="center"/>
    </w:pPr>
    <w:rPr>
      <w:rFonts w:ascii="黑体" w:hAnsi="黑体" w:eastAsia="黑体" w:cs="黑体"/>
      <w:b w:val="0"/>
      <w:bCs w:val="0"/>
      <w:sz w:val="32"/>
      <w:szCs w:val="32"/>
    </w:rPr>
  </w:style>
  <w:style w:type="paragraph" w:customStyle="1" w:styleId="183">
    <w:name w:val="xl34"/>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84">
    <w:name w:val="目录3"/>
    <w:basedOn w:val="1"/>
    <w:qFormat/>
    <w:uiPriority w:val="99"/>
    <w:pPr>
      <w:adjustRightInd w:val="0"/>
      <w:spacing w:line="420" w:lineRule="atLeast"/>
      <w:ind w:left="454"/>
      <w:textAlignment w:val="baseline"/>
    </w:pPr>
    <w:rPr>
      <w:kern w:val="0"/>
    </w:rPr>
  </w:style>
  <w:style w:type="paragraph" w:customStyle="1" w:styleId="185">
    <w:name w:val="样式3"/>
    <w:basedOn w:val="1"/>
    <w:qFormat/>
    <w:uiPriority w:val="99"/>
    <w:pPr>
      <w:tabs>
        <w:tab w:val="left" w:pos="945"/>
      </w:tabs>
      <w:adjustRightInd w:val="0"/>
      <w:snapToGrid w:val="0"/>
      <w:spacing w:before="120" w:after="120" w:line="312" w:lineRule="auto"/>
      <w:ind w:firstLine="567"/>
    </w:pPr>
    <w:rPr>
      <w:rFonts w:ascii="宋体" w:hAnsi="宋体" w:cs="宋体"/>
      <w:b/>
      <w:bCs/>
      <w:sz w:val="28"/>
      <w:szCs w:val="28"/>
    </w:rPr>
  </w:style>
  <w:style w:type="paragraph" w:customStyle="1" w:styleId="186">
    <w:name w:val="xl4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color w:val="000000"/>
      <w:kern w:val="0"/>
    </w:rPr>
  </w:style>
  <w:style w:type="paragraph" w:customStyle="1" w:styleId="187">
    <w:name w:val="表格文字"/>
    <w:basedOn w:val="1"/>
    <w:qFormat/>
    <w:uiPriority w:val="99"/>
    <w:pPr>
      <w:adjustRightInd w:val="0"/>
      <w:spacing w:line="420" w:lineRule="atLeast"/>
      <w:jc w:val="left"/>
      <w:textAlignment w:val="baseline"/>
    </w:pPr>
    <w:rPr>
      <w:kern w:val="0"/>
    </w:rPr>
  </w:style>
  <w:style w:type="paragraph" w:customStyle="1" w:styleId="188">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89">
    <w:name w:val="zhw"/>
    <w:basedOn w:val="1"/>
    <w:qFormat/>
    <w:uiPriority w:val="99"/>
    <w:pPr>
      <w:adjustRightInd w:val="0"/>
      <w:spacing w:line="140" w:lineRule="atLeast"/>
      <w:jc w:val="left"/>
      <w:textAlignment w:val="baseline"/>
    </w:pPr>
    <w:rPr>
      <w:rFonts w:ascii="Arial" w:hAnsi="Arial" w:cs="Arial"/>
      <w:sz w:val="24"/>
      <w:szCs w:val="24"/>
    </w:rPr>
  </w:style>
  <w:style w:type="paragraph" w:customStyle="1" w:styleId="190">
    <w:name w:val="op_exactqa_s_prop"/>
    <w:basedOn w:val="1"/>
    <w:qFormat/>
    <w:uiPriority w:val="99"/>
    <w:pPr>
      <w:widowControl/>
      <w:jc w:val="left"/>
    </w:pPr>
    <w:rPr>
      <w:rFonts w:ascii="宋体" w:hAnsi="宋体" w:cs="宋体"/>
      <w:kern w:val="0"/>
      <w:sz w:val="24"/>
      <w:szCs w:val="24"/>
    </w:rPr>
  </w:style>
  <w:style w:type="paragraph" w:customStyle="1" w:styleId="191">
    <w:name w:val="正文111"/>
    <w:basedOn w:val="1"/>
    <w:qFormat/>
    <w:uiPriority w:val="99"/>
    <w:pPr>
      <w:spacing w:line="360" w:lineRule="auto"/>
      <w:ind w:firstLine="200" w:firstLineChars="200"/>
    </w:pPr>
    <w:rPr>
      <w:rFonts w:ascii="宋体" w:hAnsi="宋体" w:cs="宋体"/>
      <w:sz w:val="28"/>
      <w:szCs w:val="28"/>
    </w:rPr>
  </w:style>
  <w:style w:type="paragraph" w:customStyle="1" w:styleId="192">
    <w:name w:val="正文文本缩进 22"/>
    <w:basedOn w:val="1"/>
    <w:qFormat/>
    <w:uiPriority w:val="99"/>
    <w:pPr>
      <w:adjustRightInd w:val="0"/>
      <w:spacing w:line="400" w:lineRule="atLeast"/>
      <w:ind w:firstLine="540"/>
      <w:textAlignment w:val="baseline"/>
    </w:pPr>
    <w:rPr>
      <w:rFonts w:ascii="宋体" w:cs="宋体"/>
      <w:kern w:val="0"/>
      <w:sz w:val="24"/>
      <w:szCs w:val="24"/>
    </w:rPr>
  </w:style>
  <w:style w:type="paragraph" w:customStyle="1" w:styleId="193">
    <w:name w:val="xl42"/>
    <w:basedOn w:val="1"/>
    <w:qFormat/>
    <w:uiPriority w:val="99"/>
    <w:pPr>
      <w:widowControl/>
      <w:pBdr>
        <w:top w:val="single" w:color="auto" w:sz="4" w:space="0"/>
        <w:bottom w:val="single" w:color="auto" w:sz="4" w:space="0"/>
      </w:pBdr>
      <w:spacing w:before="100" w:beforeAutospacing="1" w:after="100" w:afterAutospacing="1"/>
      <w:jc w:val="center"/>
    </w:pPr>
    <w:rPr>
      <w:color w:val="000000"/>
      <w:kern w:val="0"/>
    </w:rPr>
  </w:style>
  <w:style w:type="paragraph" w:styleId="194">
    <w:name w:val="List Paragraph"/>
    <w:basedOn w:val="1"/>
    <w:qFormat/>
    <w:uiPriority w:val="99"/>
    <w:pPr>
      <w:ind w:firstLine="420" w:firstLineChars="200"/>
    </w:pPr>
  </w:style>
  <w:style w:type="paragraph" w:customStyle="1" w:styleId="195">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196">
    <w:name w:val="表格方字"/>
    <w:basedOn w:val="1"/>
    <w:qFormat/>
    <w:uiPriority w:val="99"/>
    <w:pPr>
      <w:adjustRightInd w:val="0"/>
      <w:spacing w:line="420" w:lineRule="atLeast"/>
      <w:jc w:val="left"/>
      <w:textAlignment w:val="baseline"/>
    </w:pPr>
    <w:rPr>
      <w:kern w:val="0"/>
    </w:rPr>
  </w:style>
  <w:style w:type="paragraph" w:customStyle="1" w:styleId="197">
    <w:name w:val="Char Char Char Char Char Char Char Char Char Char Char Char Char Char Char Char"/>
    <w:basedOn w:val="1"/>
    <w:qFormat/>
    <w:uiPriority w:val="99"/>
    <w:pPr>
      <w:spacing w:line="520" w:lineRule="exact"/>
    </w:pPr>
    <w:rPr>
      <w:rFonts w:ascii="宋体" w:hAnsi="宋体" w:cs="宋体"/>
      <w:sz w:val="24"/>
      <w:szCs w:val="24"/>
    </w:rPr>
  </w:style>
  <w:style w:type="paragraph" w:customStyle="1" w:styleId="198">
    <w:name w:val="表文C"/>
    <w:basedOn w:val="1"/>
    <w:qFormat/>
    <w:uiPriority w:val="99"/>
    <w:pPr>
      <w:widowControl/>
      <w:tabs>
        <w:tab w:val="left" w:pos="0"/>
      </w:tabs>
      <w:adjustRightInd w:val="0"/>
      <w:snapToGrid w:val="0"/>
      <w:jc w:val="center"/>
    </w:pPr>
    <w:rPr>
      <w:kern w:val="0"/>
    </w:rPr>
  </w:style>
  <w:style w:type="paragraph" w:customStyle="1" w:styleId="199">
    <w:name w:val="表格6"/>
    <w:basedOn w:val="1"/>
    <w:qFormat/>
    <w:uiPriority w:val="99"/>
    <w:pPr>
      <w:adjustRightInd w:val="0"/>
      <w:spacing w:line="420" w:lineRule="atLeast"/>
      <w:ind w:left="737"/>
      <w:textAlignment w:val="baseline"/>
    </w:pPr>
    <w:rPr>
      <w:rFonts w:ascii="宋体" w:cs="宋体"/>
      <w:kern w:val="0"/>
    </w:rPr>
  </w:style>
  <w:style w:type="paragraph" w:customStyle="1" w:styleId="200">
    <w:name w:val="一级标题"/>
    <w:basedOn w:val="1"/>
    <w:qFormat/>
    <w:uiPriority w:val="99"/>
    <w:pPr>
      <w:spacing w:beforeLines="50" w:afterLines="50" w:line="360" w:lineRule="auto"/>
      <w:jc w:val="left"/>
    </w:pPr>
    <w:rPr>
      <w:rFonts w:ascii="黑体" w:hAnsi="Arial" w:eastAsia="黑体" w:cs="黑体"/>
      <w:sz w:val="24"/>
      <w:szCs w:val="24"/>
      <w:lang w:val="en-GB"/>
    </w:rPr>
  </w:style>
  <w:style w:type="paragraph" w:customStyle="1" w:styleId="201">
    <w:name w:val="Char Char Char Char1"/>
    <w:basedOn w:val="1"/>
    <w:qFormat/>
    <w:uiPriority w:val="99"/>
  </w:style>
  <w:style w:type="paragraph" w:customStyle="1" w:styleId="202">
    <w:name w:val="样式 标题 3 + (中文) 黑体 小四 非加粗 段前: 7.8 磅 段后: 0 磅 行距: 固定值 20 磅"/>
    <w:basedOn w:val="4"/>
    <w:next w:val="1"/>
    <w:qFormat/>
    <w:uiPriority w:val="99"/>
    <w:pPr>
      <w:spacing w:before="0" w:after="0" w:line="400" w:lineRule="exact"/>
    </w:pPr>
    <w:rPr>
      <w:rFonts w:eastAsia="黑体"/>
      <w:b w:val="0"/>
      <w:bCs w:val="0"/>
      <w:sz w:val="24"/>
      <w:szCs w:val="24"/>
    </w:rPr>
  </w:style>
  <w:style w:type="paragraph" w:customStyle="1" w:styleId="203">
    <w:name w:val="Char Char Char1"/>
    <w:basedOn w:val="1"/>
    <w:qFormat/>
    <w:uiPriority w:val="99"/>
    <w:pPr>
      <w:spacing w:line="360" w:lineRule="auto"/>
      <w:ind w:firstLine="200" w:firstLineChars="200"/>
    </w:pPr>
    <w:rPr>
      <w:rFonts w:ascii="宋体" w:hAnsi="宋体" w:cs="宋体"/>
      <w:sz w:val="24"/>
      <w:szCs w:val="24"/>
    </w:rPr>
  </w:style>
  <w:style w:type="paragraph" w:customStyle="1" w:styleId="204">
    <w:name w:val="xl43"/>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color w:val="000000"/>
      <w:kern w:val="0"/>
    </w:rPr>
  </w:style>
  <w:style w:type="paragraph" w:customStyle="1" w:styleId="205">
    <w:name w:val="样式2"/>
    <w:basedOn w:val="46"/>
    <w:qFormat/>
    <w:uiPriority w:val="99"/>
    <w:pPr>
      <w:spacing w:line="315" w:lineRule="atLeast"/>
    </w:pPr>
    <w:rPr>
      <w:rFonts w:ascii="Cambria" w:hAnsi="Cambria" w:cs="Cambria"/>
    </w:rPr>
  </w:style>
  <w:style w:type="paragraph" w:customStyle="1" w:styleId="206">
    <w:name w:val="前言、引言标题"/>
    <w:next w:val="1"/>
    <w:qFormat/>
    <w:uiPriority w:val="99"/>
    <w:p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207">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color w:val="000000"/>
      <w:kern w:val="0"/>
    </w:rPr>
  </w:style>
  <w:style w:type="paragraph" w:customStyle="1" w:styleId="208">
    <w:name w:val="1"/>
    <w:basedOn w:val="1"/>
    <w:next w:val="1"/>
    <w:qFormat/>
    <w:uiPriority w:val="99"/>
  </w:style>
  <w:style w:type="paragraph" w:customStyle="1" w:styleId="209">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10">
    <w:name w:val="p0"/>
    <w:basedOn w:val="1"/>
    <w:qFormat/>
    <w:uiPriority w:val="99"/>
    <w:pPr>
      <w:widowControl/>
    </w:pPr>
    <w:rPr>
      <w:rFonts w:ascii="宋体" w:cs="宋体"/>
      <w:kern w:val="0"/>
      <w:position w:val="-6"/>
    </w:rPr>
  </w:style>
  <w:style w:type="paragraph" w:customStyle="1" w:styleId="211">
    <w:name w:val="样式 加粗 居中"/>
    <w:basedOn w:val="1"/>
    <w:qFormat/>
    <w:uiPriority w:val="99"/>
    <w:pPr>
      <w:jc w:val="center"/>
    </w:pPr>
    <w:rPr>
      <w:b/>
      <w:bCs/>
    </w:rPr>
  </w:style>
  <w:style w:type="paragraph" w:customStyle="1" w:styleId="212">
    <w:name w:val="Char1"/>
    <w:basedOn w:val="1"/>
    <w:qFormat/>
    <w:uiPriority w:val="99"/>
    <w:rPr>
      <w:rFonts w:ascii="宋体" w:cs="宋体"/>
      <w:kern w:val="0"/>
    </w:rPr>
  </w:style>
  <w:style w:type="paragraph" w:customStyle="1" w:styleId="213">
    <w:name w:val="Char Char Char1 Char Char Char Char Char Char Char Char Char Char Char Char Char Char Char Char Char Char Char2"/>
    <w:basedOn w:val="1"/>
    <w:qFormat/>
    <w:uiPriority w:val="99"/>
  </w:style>
  <w:style w:type="paragraph" w:customStyle="1" w:styleId="214">
    <w:name w:val="格式3"/>
    <w:basedOn w:val="1"/>
    <w:qFormat/>
    <w:uiPriority w:val="99"/>
    <w:pPr>
      <w:tabs>
        <w:tab w:val="left" w:pos="1304"/>
      </w:tabs>
      <w:adjustRightInd w:val="0"/>
      <w:snapToGrid w:val="0"/>
      <w:spacing w:beforeLines="15" w:afterLines="15" w:line="440" w:lineRule="exact"/>
      <w:ind w:left="1304" w:hanging="453"/>
    </w:pPr>
    <w:rPr>
      <w:color w:val="0000FF"/>
      <w:sz w:val="24"/>
      <w:szCs w:val="24"/>
    </w:rPr>
  </w:style>
  <w:style w:type="paragraph" w:customStyle="1" w:styleId="215">
    <w:name w:val="二级标题"/>
    <w:basedOn w:val="1"/>
    <w:qFormat/>
    <w:uiPriority w:val="99"/>
    <w:pPr>
      <w:adjustRightInd w:val="0"/>
      <w:snapToGrid w:val="0"/>
      <w:spacing w:line="360" w:lineRule="exact"/>
      <w:jc w:val="left"/>
      <w:outlineLvl w:val="0"/>
    </w:pPr>
    <w:rPr>
      <w:rFonts w:ascii="宋体" w:hAnsi="宋体" w:cs="宋体"/>
      <w:b/>
      <w:bCs/>
      <w:color w:val="FF0000"/>
      <w:lang w:val="en-GB"/>
    </w:rPr>
  </w:style>
  <w:style w:type="paragraph" w:customStyle="1" w:styleId="216">
    <w:name w:val="表格1"/>
    <w:basedOn w:val="1"/>
    <w:qFormat/>
    <w:uiPriority w:val="99"/>
    <w:pPr>
      <w:adjustRightInd w:val="0"/>
      <w:spacing w:line="420" w:lineRule="atLeast"/>
      <w:ind w:left="284"/>
      <w:textAlignment w:val="baseline"/>
    </w:pPr>
    <w:rPr>
      <w:kern w:val="0"/>
    </w:rPr>
  </w:style>
  <w:style w:type="paragraph" w:customStyle="1" w:styleId="217">
    <w:name w:val="正文A"/>
    <w:link w:val="230"/>
    <w:qFormat/>
    <w:uiPriority w:val="99"/>
    <w:pPr>
      <w:tabs>
        <w:tab w:val="left" w:pos="0"/>
      </w:tabs>
      <w:adjustRightInd w:val="0"/>
      <w:spacing w:line="360" w:lineRule="auto"/>
      <w:ind w:firstLine="200" w:firstLineChars="200"/>
      <w:jc w:val="both"/>
    </w:pPr>
    <w:rPr>
      <w:rFonts w:ascii="Times New Roman" w:hAnsi="Times New Roman" w:eastAsia="宋体" w:cs="Times New Roman"/>
      <w:snapToGrid w:val="0"/>
      <w:sz w:val="22"/>
      <w:szCs w:val="22"/>
      <w:lang w:val="en-US" w:eastAsia="zh-CN" w:bidi="ar-SA"/>
    </w:rPr>
  </w:style>
  <w:style w:type="paragraph" w:customStyle="1" w:styleId="218">
    <w:name w:val="Char11"/>
    <w:basedOn w:val="1"/>
    <w:qFormat/>
    <w:uiPriority w:val="99"/>
  </w:style>
  <w:style w:type="paragraph" w:customStyle="1" w:styleId="219">
    <w:name w:val="目录2"/>
    <w:basedOn w:val="1"/>
    <w:qFormat/>
    <w:uiPriority w:val="99"/>
    <w:pPr>
      <w:adjustRightInd w:val="0"/>
      <w:spacing w:line="420" w:lineRule="atLeast"/>
      <w:ind w:left="227"/>
      <w:textAlignment w:val="baseline"/>
    </w:pPr>
    <w:rPr>
      <w:kern w:val="0"/>
    </w:rPr>
  </w:style>
  <w:style w:type="paragraph" w:customStyle="1" w:styleId="220">
    <w:name w:val="章标题"/>
    <w:next w:val="157"/>
    <w:qFormat/>
    <w:uiPriority w:val="99"/>
    <w:pPr>
      <w:spacing w:beforeLines="50" w:afterLines="50"/>
      <w:jc w:val="both"/>
      <w:outlineLvl w:val="1"/>
    </w:pPr>
    <w:rPr>
      <w:rFonts w:ascii="黑体" w:hAnsi="Times New Roman" w:eastAsia="黑体" w:cs="黑体"/>
      <w:sz w:val="21"/>
      <w:szCs w:val="21"/>
      <w:lang w:val="en-US" w:eastAsia="zh-CN" w:bidi="ar-SA"/>
    </w:rPr>
  </w:style>
  <w:style w:type="paragraph" w:customStyle="1" w:styleId="221">
    <w:name w:val="三级条标题"/>
    <w:basedOn w:val="155"/>
    <w:next w:val="157"/>
    <w:qFormat/>
    <w:uiPriority w:val="99"/>
    <w:pPr>
      <w:outlineLvl w:val="4"/>
    </w:pPr>
  </w:style>
  <w:style w:type="paragraph" w:customStyle="1" w:styleId="22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rPr>
  </w:style>
  <w:style w:type="paragraph" w:customStyle="1" w:styleId="223">
    <w:name w:val="Char Char Char1 Char"/>
    <w:basedOn w:val="3"/>
    <w:next w:val="1"/>
    <w:qFormat/>
    <w:uiPriority w:val="99"/>
    <w:pPr>
      <w:snapToGrid w:val="0"/>
      <w:spacing w:before="120" w:after="120" w:line="240" w:lineRule="auto"/>
      <w:jc w:val="left"/>
    </w:pPr>
  </w:style>
  <w:style w:type="paragraph" w:customStyle="1" w:styleId="224">
    <w:name w:val="表格"/>
    <w:basedOn w:val="1"/>
    <w:qFormat/>
    <w:uiPriority w:val="99"/>
    <w:pPr>
      <w:jc w:val="center"/>
      <w:textAlignment w:val="center"/>
    </w:pPr>
    <w:rPr>
      <w:rFonts w:ascii="华文细黑" w:hAnsi="华文细黑" w:cs="华文细黑"/>
      <w:kern w:val="0"/>
    </w:rPr>
  </w:style>
  <w:style w:type="paragraph" w:customStyle="1" w:styleId="225">
    <w:name w:val="font7"/>
    <w:basedOn w:val="1"/>
    <w:qFormat/>
    <w:uiPriority w:val="99"/>
    <w:pPr>
      <w:widowControl/>
      <w:spacing w:before="100" w:beforeAutospacing="1" w:after="100" w:afterAutospacing="1"/>
      <w:jc w:val="left"/>
    </w:pPr>
    <w:rPr>
      <w:color w:val="000000"/>
      <w:kern w:val="0"/>
    </w:rPr>
  </w:style>
  <w:style w:type="paragraph" w:customStyle="1" w:styleId="226">
    <w:name w:val="默认段落字体 Para Char Char Char Char"/>
    <w:basedOn w:val="1"/>
    <w:qFormat/>
    <w:uiPriority w:val="99"/>
  </w:style>
  <w:style w:type="paragraph" w:customStyle="1" w:styleId="227">
    <w:name w:val="xl3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228">
    <w:name w:val="2"/>
    <w:basedOn w:val="1"/>
    <w:next w:val="1"/>
    <w:qFormat/>
    <w:uiPriority w:val="99"/>
    <w:rPr>
      <w:rFonts w:ascii="宋体" w:cs="宋体"/>
      <w:b/>
      <w:bCs/>
      <w:sz w:val="24"/>
      <w:szCs w:val="24"/>
    </w:rPr>
  </w:style>
  <w:style w:type="paragraph" w:customStyle="1" w:styleId="229">
    <w:name w:val="xl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0000"/>
      <w:kern w:val="0"/>
    </w:rPr>
  </w:style>
  <w:style w:type="character" w:customStyle="1" w:styleId="230">
    <w:name w:val="正文A Char"/>
    <w:link w:val="217"/>
    <w:qFormat/>
    <w:uiPriority w:val="99"/>
    <w:rPr>
      <w:snapToGrid w:val="0"/>
      <w:sz w:val="22"/>
      <w:szCs w:val="22"/>
      <w:lang w:bidi="ar-SA"/>
    </w:rPr>
  </w:style>
  <w:style w:type="paragraph" w:customStyle="1" w:styleId="231">
    <w:name w:val="Char3"/>
    <w:basedOn w:val="1"/>
    <w:qFormat/>
    <w:uiPriority w:val="99"/>
    <w:rPr>
      <w:rFonts w:ascii="Tahoma" w:hAnsi="Tahoma" w:cs="Tahoma"/>
      <w:sz w:val="24"/>
      <w:szCs w:val="24"/>
    </w:rPr>
  </w:style>
  <w:style w:type="paragraph" w:customStyle="1" w:styleId="232">
    <w:name w:val="Char Char Char1 Char Char Char Char Char Char Char Char Char Char Char Char Char Char Char Char Char Char Char1"/>
    <w:basedOn w:val="1"/>
    <w:qFormat/>
    <w:uiPriority w:val="99"/>
  </w:style>
  <w:style w:type="paragraph" w:customStyle="1" w:styleId="233">
    <w:name w:val="Char2"/>
    <w:basedOn w:val="1"/>
    <w:qFormat/>
    <w:uiPriority w:val="99"/>
    <w:rPr>
      <w:rFonts w:ascii="Tahoma" w:hAnsi="Tahoma" w:cs="Tahoma"/>
      <w:sz w:val="24"/>
      <w:szCs w:val="24"/>
    </w:rPr>
  </w:style>
  <w:style w:type="paragraph" w:customStyle="1" w:styleId="234">
    <w:name w:val="样式 样式 样式 样式 样式 样式 正文 + 首行缩进:  2.25 字符 + 首行缩进:  2.25 字符 + 首行缩进:  ...1"/>
    <w:basedOn w:val="1"/>
    <w:qFormat/>
    <w:uiPriority w:val="99"/>
    <w:pPr>
      <w:spacing w:line="360" w:lineRule="auto"/>
      <w:ind w:firstLine="200" w:firstLineChars="200"/>
    </w:pPr>
    <w:rPr>
      <w:rFonts w:eastAsia="幼圆"/>
      <w:spacing w:val="4"/>
      <w:sz w:val="24"/>
      <w:szCs w:val="24"/>
    </w:rPr>
  </w:style>
  <w:style w:type="paragraph" w:customStyle="1" w:styleId="235">
    <w:name w:val="样式 样式 样式 样式 样式 样式 样式 正文 + 首行缩进:  2.25 字符 + 首行缩进:  2.25 字符 + 首行缩进..."/>
    <w:basedOn w:val="234"/>
    <w:qFormat/>
    <w:uiPriority w:val="99"/>
  </w:style>
  <w:style w:type="paragraph" w:customStyle="1" w:styleId="236">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37">
    <w:name w:val="Revision1"/>
    <w:hidden/>
    <w:semiHidden/>
    <w:qFormat/>
    <w:uiPriority w:val="99"/>
    <w:rPr>
      <w:rFonts w:ascii="Times New Roman" w:hAnsi="Times New Roman" w:eastAsia="宋体" w:cs="Times New Roman"/>
      <w:kern w:val="2"/>
      <w:sz w:val="21"/>
      <w:szCs w:val="21"/>
      <w:lang w:val="en-US" w:eastAsia="zh-CN" w:bidi="ar-SA"/>
    </w:rPr>
  </w:style>
  <w:style w:type="paragraph" w:customStyle="1" w:styleId="238">
    <w:name w:val="简单回函地址"/>
    <w:basedOn w:val="1"/>
    <w:qFormat/>
    <w:uiPriority w:val="99"/>
  </w:style>
  <w:style w:type="character" w:customStyle="1" w:styleId="239">
    <w:name w:val="正文文本 3 Char"/>
    <w:qFormat/>
    <w:uiPriority w:val="99"/>
    <w:rPr>
      <w:rFonts w:ascii="宋体" w:eastAsia="宋体" w:cs="宋体"/>
      <w:kern w:val="2"/>
      <w:sz w:val="24"/>
      <w:szCs w:val="24"/>
      <w:lang w:val="en-US" w:eastAsia="zh-CN"/>
    </w:rPr>
  </w:style>
  <w:style w:type="character" w:customStyle="1" w:styleId="240">
    <w:name w:val="标题 6 Char"/>
    <w:qFormat/>
    <w:uiPriority w:val="99"/>
    <w:rPr>
      <w:rFonts w:ascii="Arial" w:hAnsi="Arial" w:eastAsia="黑体" w:cs="Arial"/>
      <w:b/>
      <w:bCs/>
      <w:sz w:val="24"/>
      <w:szCs w:val="24"/>
      <w:lang w:val="en-US" w:eastAsia="zh-CN"/>
    </w:rPr>
  </w:style>
  <w:style w:type="character" w:customStyle="1" w:styleId="241">
    <w:name w:val="标题 3 Char"/>
    <w:qFormat/>
    <w:uiPriority w:val="99"/>
    <w:rPr>
      <w:rFonts w:eastAsia="宋体"/>
      <w:b/>
      <w:bCs/>
      <w:kern w:val="2"/>
      <w:sz w:val="32"/>
      <w:szCs w:val="32"/>
      <w:lang w:val="en-US" w:eastAsia="zh-CN"/>
    </w:rPr>
  </w:style>
  <w:style w:type="character" w:customStyle="1" w:styleId="242">
    <w:name w:val="标题 4 Char"/>
    <w:qFormat/>
    <w:uiPriority w:val="99"/>
    <w:rPr>
      <w:rFonts w:ascii="Arial" w:hAnsi="Arial" w:eastAsia="黑体" w:cs="Arial"/>
      <w:b/>
      <w:bCs/>
      <w:kern w:val="2"/>
      <w:sz w:val="28"/>
      <w:szCs w:val="28"/>
      <w:lang w:val="en-US" w:eastAsia="zh-CN"/>
    </w:rPr>
  </w:style>
  <w:style w:type="character" w:customStyle="1" w:styleId="243">
    <w:name w:val="正文缩进 Char"/>
    <w:qFormat/>
    <w:uiPriority w:val="99"/>
    <w:rPr>
      <w:rFonts w:eastAsia="宋体"/>
      <w:kern w:val="2"/>
      <w:sz w:val="24"/>
      <w:szCs w:val="24"/>
      <w:lang w:val="en-US" w:eastAsia="zh-CN"/>
    </w:rPr>
  </w:style>
  <w:style w:type="paragraph" w:customStyle="1" w:styleId="244">
    <w:name w:val="文头"/>
    <w:basedOn w:val="1"/>
    <w:qFormat/>
    <w:uiPriority w:val="99"/>
    <w:pPr>
      <w:tabs>
        <w:tab w:val="left" w:pos="6663"/>
      </w:tabs>
      <w:autoSpaceDE w:val="0"/>
      <w:autoSpaceDN w:val="0"/>
      <w:snapToGrid w:val="0"/>
      <w:spacing w:after="800" w:line="1500" w:lineRule="atLeast"/>
      <w:ind w:left="511" w:right="227" w:hanging="284"/>
      <w:jc w:val="distribute"/>
    </w:pPr>
    <w:rPr>
      <w:rFonts w:ascii="汉鼎简大宋" w:eastAsia="汉鼎简大宋" w:cs="汉鼎简大宋"/>
      <w:b/>
      <w:bCs/>
      <w:color w:val="FF0000"/>
      <w:w w:val="62"/>
      <w:kern w:val="0"/>
      <w:sz w:val="140"/>
      <w:szCs w:val="140"/>
    </w:rPr>
  </w:style>
  <w:style w:type="paragraph" w:customStyle="1" w:styleId="245">
    <w:name w:val="标题1"/>
    <w:basedOn w:val="1"/>
    <w:next w:val="1"/>
    <w:qFormat/>
    <w:uiPriority w:val="99"/>
    <w:pPr>
      <w:tabs>
        <w:tab w:val="left" w:pos="9193"/>
        <w:tab w:val="left" w:pos="9827"/>
      </w:tabs>
      <w:autoSpaceDE w:val="0"/>
      <w:autoSpaceDN w:val="0"/>
      <w:snapToGrid w:val="0"/>
      <w:spacing w:line="700" w:lineRule="atLeast"/>
      <w:jc w:val="center"/>
    </w:pPr>
    <w:rPr>
      <w:rFonts w:eastAsia="方正小标宋_GBK"/>
      <w:kern w:val="0"/>
      <w:sz w:val="44"/>
      <w:szCs w:val="44"/>
    </w:rPr>
  </w:style>
  <w:style w:type="paragraph" w:customStyle="1" w:styleId="246">
    <w:name w:val="样式 主题词 + 段后: 8.85 磅 行距: 固定值 26 磅"/>
    <w:basedOn w:val="1"/>
    <w:qFormat/>
    <w:uiPriority w:val="99"/>
    <w:pPr>
      <w:autoSpaceDE w:val="0"/>
      <w:autoSpaceDN w:val="0"/>
      <w:adjustRightInd w:val="0"/>
      <w:spacing w:after="177" w:line="520" w:lineRule="exact"/>
      <w:jc w:val="left"/>
    </w:pPr>
    <w:rPr>
      <w:rFonts w:ascii="方正黑体_GBK" w:eastAsia="方正黑体_GBK" w:cs="方正黑体_GBK"/>
      <w:kern w:val="0"/>
      <w:sz w:val="32"/>
      <w:szCs w:val="32"/>
    </w:rPr>
  </w:style>
  <w:style w:type="paragraph" w:customStyle="1" w:styleId="247">
    <w:name w:val="附件栏"/>
    <w:basedOn w:val="1"/>
    <w:qFormat/>
    <w:uiPriority w:val="99"/>
    <w:pPr>
      <w:autoSpaceDE w:val="0"/>
      <w:autoSpaceDN w:val="0"/>
      <w:snapToGrid w:val="0"/>
      <w:spacing w:line="590" w:lineRule="atLeast"/>
      <w:ind w:firstLine="624"/>
    </w:pPr>
    <w:rPr>
      <w:rFonts w:eastAsia="仿宋"/>
      <w:kern w:val="0"/>
      <w:sz w:val="32"/>
      <w:szCs w:val="32"/>
    </w:rPr>
  </w:style>
  <w:style w:type="paragraph" w:customStyle="1" w:styleId="248">
    <w:name w:val="红线"/>
    <w:basedOn w:val="2"/>
    <w:qFormat/>
    <w:uiPriority w:val="99"/>
    <w:pPr>
      <w:keepNext w:val="0"/>
      <w:keepLines w:val="0"/>
      <w:autoSpaceDE w:val="0"/>
      <w:autoSpaceDN w:val="0"/>
      <w:adjustRightInd w:val="0"/>
      <w:spacing w:before="0" w:after="851" w:line="227" w:lineRule="atLeast"/>
      <w:ind w:right="-142"/>
      <w:jc w:val="center"/>
      <w:outlineLvl w:val="9"/>
    </w:pPr>
    <w:rPr>
      <w:rFonts w:ascii="宋体" w:cs="宋体"/>
      <w:kern w:val="0"/>
      <w:sz w:val="10"/>
      <w:szCs w:val="10"/>
    </w:rPr>
  </w:style>
  <w:style w:type="character" w:customStyle="1" w:styleId="249">
    <w:name w:val="font21"/>
    <w:qFormat/>
    <w:uiPriority w:val="99"/>
    <w:rPr>
      <w:rFonts w:ascii="宋体" w:hAnsi="宋体" w:eastAsia="宋体" w:cs="宋体"/>
      <w:color w:val="000000"/>
      <w:sz w:val="22"/>
      <w:szCs w:val="22"/>
      <w:u w:val="none"/>
    </w:rPr>
  </w:style>
  <w:style w:type="character" w:customStyle="1" w:styleId="250">
    <w:name w:val="font01"/>
    <w:qFormat/>
    <w:uiPriority w:val="99"/>
    <w:rPr>
      <w:rFonts w:ascii="宋体" w:hAnsi="宋体" w:eastAsia="宋体" w:cs="宋体"/>
      <w:b/>
      <w:bCs/>
      <w:color w:val="000000"/>
      <w:sz w:val="22"/>
      <w:szCs w:val="22"/>
      <w:u w:val="none"/>
    </w:rPr>
  </w:style>
  <w:style w:type="paragraph" w:customStyle="1" w:styleId="251">
    <w:name w:val="标题 51"/>
    <w:basedOn w:val="1"/>
    <w:qFormat/>
    <w:uiPriority w:val="1"/>
    <w:pPr>
      <w:autoSpaceDE w:val="0"/>
      <w:autoSpaceDN w:val="0"/>
      <w:ind w:left="488"/>
      <w:jc w:val="left"/>
      <w:outlineLvl w:val="5"/>
    </w:pPr>
    <w:rPr>
      <w:rFonts w:ascii="Noto Sans CJK JP Regular" w:hAnsi="Noto Sans CJK JP Regular" w:eastAsia="Noto Sans CJK JP Regular" w:cs="Noto Sans CJK JP Regular"/>
      <w:kern w:val="0"/>
      <w:sz w:val="24"/>
      <w:szCs w:val="24"/>
      <w:lang w:eastAsia="en-US"/>
    </w:rPr>
  </w:style>
  <w:style w:type="paragraph" w:customStyle="1" w:styleId="252">
    <w:name w:val="标题 2 + Times New Roman 居中 段前: 0 磅 段后: 0 磅 行距: 单倍行距 + 段前..."/>
    <w:basedOn w:val="1"/>
    <w:qFormat/>
    <w:uiPriority w:val="0"/>
    <w:pPr>
      <w:keepNext/>
      <w:keepLines/>
      <w:adjustRightInd w:val="0"/>
      <w:snapToGrid w:val="0"/>
      <w:spacing w:beforeLines="150" w:afterLines="100"/>
      <w:jc w:val="center"/>
      <w:outlineLvl w:val="1"/>
    </w:pPr>
    <w:rPr>
      <w:rFonts w:eastAsia="黑体"/>
      <w:b/>
      <w:bCs/>
      <w:sz w:val="32"/>
      <w:szCs w:val="20"/>
    </w:rPr>
  </w:style>
  <w:style w:type="paragraph" w:customStyle="1" w:styleId="253">
    <w:name w:val="标题 5 + (西文) Arial Narrow"/>
    <w:basedOn w:val="5"/>
    <w:qFormat/>
    <w:uiPriority w:val="0"/>
    <w:pPr>
      <w:adjustRightInd w:val="0"/>
      <w:snapToGrid w:val="0"/>
      <w:spacing w:beforeLines="100" w:afterLines="100" w:line="360" w:lineRule="auto"/>
      <w:jc w:val="center"/>
    </w:pPr>
    <w:rPr>
      <w:rFonts w:ascii="Arial Narrow" w:hAnsi="Arial Narrow" w:eastAsia="宋体"/>
      <w:kern w:val="0"/>
    </w:rPr>
  </w:style>
  <w:style w:type="paragraph" w:customStyle="1" w:styleId="254">
    <w:name w:val="WPSOffice手动目录 1"/>
    <w:qFormat/>
    <w:uiPriority w:val="0"/>
    <w:rPr>
      <w:rFonts w:ascii="Times New Roman" w:hAnsi="Times New Roman" w:eastAsia="宋体" w:cs="Times New Roman"/>
      <w:lang w:val="en-US" w:eastAsia="zh-CN" w:bidi="ar-SA"/>
    </w:rPr>
  </w:style>
  <w:style w:type="paragraph" w:customStyle="1" w:styleId="255">
    <w:name w:val="Table Paragraph"/>
    <w:basedOn w:val="1"/>
    <w:qFormat/>
    <w:uiPriority w:val="1"/>
    <w:pPr>
      <w:autoSpaceDE w:val="0"/>
      <w:autoSpaceDN w:val="0"/>
      <w:adjustRightInd w:val="0"/>
      <w:jc w:val="left"/>
    </w:pPr>
    <w:rPr>
      <w:kern w:val="0"/>
      <w:sz w:val="24"/>
      <w:szCs w:val="24"/>
    </w:rPr>
  </w:style>
  <w:style w:type="paragraph" w:customStyle="1" w:styleId="256">
    <w:name w:val="修订1"/>
    <w:hidden/>
    <w:unhideWhenUsed/>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4098"/>
    <customShpInfo spid="_x0000_s4099"/>
    <customShpInfo spid="_x0000_s4100"/>
    <customShpInfo spid="_x0000_s4101"/>
    <customShpInfo spid="_x0000_s410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EE97D-05D9-461C-9464-BBD8BB18D037}">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96</Pages>
  <Words>52169</Words>
  <Characters>54855</Characters>
  <Lines>410</Lines>
  <Paragraphs>115</Paragraphs>
  <TotalTime>8</TotalTime>
  <ScaleCrop>false</ScaleCrop>
  <LinksUpToDate>false</LinksUpToDate>
  <CharactersWithSpaces>55315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2024-09-11T10:36:00Z</dcterms:created>
  <dc:creator>1</dc:creator>
  <cp:lastModifiedBy>WPS_1542117345</cp:lastModifiedBy>
  <cp:lastPrinted>2020-03-30T08:57:00Z</cp:lastPrinted>
  <dcterms:modified xsi:type="dcterms:W3CDTF">2024-10-08T09:30:20Z</dcterms:modified>
  <dc:title>中华人民共和国</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3BE12997168542E78AFDD403E85D4B27_13</vt:lpwstr>
  </property>
</Properties>
</file>